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E4" w:rsidRPr="003F12E2" w:rsidRDefault="000C50E4" w:rsidP="000C50E4">
      <w:pPr>
        <w:spacing w:line="360" w:lineRule="auto"/>
        <w:ind w:right="-532"/>
        <w:rPr>
          <w:rFonts w:ascii="Arial" w:hAnsi="Arial"/>
          <w:b/>
          <w:sz w:val="20"/>
          <w:szCs w:val="20"/>
        </w:rPr>
      </w:pPr>
      <w:r w:rsidRPr="003F12E2">
        <w:rPr>
          <w:rFonts w:ascii="Arial" w:hAnsi="Arial" w:cs="Arial"/>
          <w:b/>
          <w:bCs/>
          <w:color w:val="1A1A1A"/>
          <w:sz w:val="20"/>
          <w:szCs w:val="20"/>
        </w:rPr>
        <w:t xml:space="preserve">TITLE: </w:t>
      </w:r>
      <w:r w:rsidRPr="003F12E2">
        <w:rPr>
          <w:rFonts w:ascii="Arial" w:hAnsi="Arial" w:cs="Arial"/>
          <w:bCs/>
          <w:color w:val="1A1A1A"/>
          <w:sz w:val="20"/>
          <w:szCs w:val="20"/>
        </w:rPr>
        <w:t xml:space="preserve">Evaluating the effect of micronutrient supplementation on preventing tuberculosis disease among high-risk adult household contacts of infectious tuberculosis patients: a </w:t>
      </w:r>
      <w:proofErr w:type="gramStart"/>
      <w:r w:rsidRPr="003F12E2">
        <w:rPr>
          <w:rFonts w:ascii="Arial" w:hAnsi="Arial" w:cs="Arial"/>
          <w:bCs/>
          <w:color w:val="1A1A1A"/>
          <w:sz w:val="20"/>
          <w:szCs w:val="20"/>
        </w:rPr>
        <w:t>double-blind</w:t>
      </w:r>
      <w:proofErr w:type="gramEnd"/>
      <w:r w:rsidRPr="003F12E2">
        <w:rPr>
          <w:rFonts w:ascii="Arial" w:hAnsi="Arial" w:cs="Arial"/>
          <w:bCs/>
          <w:color w:val="1A1A1A"/>
          <w:sz w:val="20"/>
          <w:szCs w:val="20"/>
        </w:rPr>
        <w:t xml:space="preserve"> randomised controlled trial.</w:t>
      </w:r>
    </w:p>
    <w:p w:rsidR="000C50E4" w:rsidRPr="003F12E2" w:rsidRDefault="000C50E4" w:rsidP="000C50E4">
      <w:pPr>
        <w:spacing w:line="360" w:lineRule="auto"/>
        <w:rPr>
          <w:rFonts w:ascii="Arial" w:hAnsi="Arial"/>
          <w:sz w:val="20"/>
          <w:szCs w:val="20"/>
          <w:u w:val="single"/>
        </w:rPr>
      </w:pPr>
    </w:p>
    <w:p w:rsidR="000C50E4" w:rsidRPr="003F12E2" w:rsidRDefault="000C50E4" w:rsidP="000C50E4">
      <w:pPr>
        <w:spacing w:line="360" w:lineRule="auto"/>
        <w:rPr>
          <w:rFonts w:ascii="Arial" w:hAnsi="Arial"/>
          <w:sz w:val="20"/>
          <w:szCs w:val="20"/>
        </w:rPr>
      </w:pPr>
      <w:r w:rsidRPr="003F12E2">
        <w:rPr>
          <w:rFonts w:ascii="Arial" w:hAnsi="Arial"/>
          <w:b/>
          <w:sz w:val="20"/>
          <w:szCs w:val="20"/>
        </w:rPr>
        <w:t>AUTHO</w:t>
      </w:r>
      <w:r>
        <w:rPr>
          <w:rFonts w:ascii="Arial" w:hAnsi="Arial"/>
          <w:b/>
          <w:sz w:val="20"/>
          <w:szCs w:val="20"/>
        </w:rPr>
        <w:t>R</w:t>
      </w:r>
      <w:r w:rsidRPr="003F12E2">
        <w:rPr>
          <w:rFonts w:ascii="Arial" w:hAnsi="Arial"/>
          <w:b/>
          <w:sz w:val="20"/>
          <w:szCs w:val="20"/>
        </w:rPr>
        <w:t xml:space="preserve">S: </w:t>
      </w:r>
      <w:r w:rsidRPr="003F12E2">
        <w:rPr>
          <w:rFonts w:ascii="Arial" w:hAnsi="Arial"/>
          <w:sz w:val="20"/>
          <w:szCs w:val="20"/>
          <w:u w:val="single"/>
        </w:rPr>
        <w:t>Saunders MJ</w:t>
      </w:r>
      <w:r w:rsidRPr="003F12E2">
        <w:rPr>
          <w:rFonts w:ascii="Arial" w:hAnsi="Arial"/>
          <w:sz w:val="20"/>
          <w:szCs w:val="20"/>
          <w:u w:val="single"/>
          <w:vertAlign w:val="superscript"/>
        </w:rPr>
        <w:t>1</w:t>
      </w:r>
      <w:proofErr w:type="gramStart"/>
      <w:r w:rsidRPr="003F12E2">
        <w:rPr>
          <w:rFonts w:ascii="Arial" w:hAnsi="Arial"/>
          <w:sz w:val="20"/>
          <w:szCs w:val="20"/>
          <w:vertAlign w:val="superscript"/>
        </w:rPr>
        <w:t>,2,3</w:t>
      </w:r>
      <w:proofErr w:type="gramEnd"/>
      <w:r w:rsidRPr="003F12E2">
        <w:rPr>
          <w:rFonts w:ascii="Arial" w:hAnsi="Arial"/>
          <w:sz w:val="20"/>
          <w:szCs w:val="20"/>
        </w:rPr>
        <w:t>, Tovar MA</w:t>
      </w:r>
      <w:r w:rsidRPr="003F12E2">
        <w:rPr>
          <w:rFonts w:ascii="Arial" w:hAnsi="Arial"/>
          <w:sz w:val="20"/>
          <w:szCs w:val="20"/>
          <w:vertAlign w:val="superscript"/>
        </w:rPr>
        <w:t>1,2</w:t>
      </w:r>
      <w:r w:rsidRPr="003F12E2">
        <w:rPr>
          <w:rFonts w:ascii="Arial" w:hAnsi="Arial"/>
          <w:sz w:val="20"/>
          <w:szCs w:val="20"/>
        </w:rPr>
        <w:t xml:space="preserve">, </w:t>
      </w:r>
      <w:proofErr w:type="spellStart"/>
      <w:r w:rsidRPr="003F12E2">
        <w:rPr>
          <w:rFonts w:ascii="Arial" w:hAnsi="Arial"/>
          <w:sz w:val="20"/>
          <w:szCs w:val="20"/>
        </w:rPr>
        <w:t>Zevallos</w:t>
      </w:r>
      <w:proofErr w:type="spellEnd"/>
      <w:r w:rsidRPr="003F12E2">
        <w:rPr>
          <w:rFonts w:ascii="Arial" w:hAnsi="Arial"/>
          <w:sz w:val="20"/>
          <w:szCs w:val="20"/>
        </w:rPr>
        <w:t xml:space="preserve"> K</w:t>
      </w:r>
      <w:r w:rsidRPr="003F12E2">
        <w:rPr>
          <w:rFonts w:ascii="Arial" w:hAnsi="Arial"/>
          <w:sz w:val="20"/>
          <w:szCs w:val="20"/>
          <w:vertAlign w:val="superscript"/>
        </w:rPr>
        <w:t>1</w:t>
      </w:r>
      <w:r w:rsidRPr="003F12E2">
        <w:rPr>
          <w:rFonts w:ascii="Arial" w:hAnsi="Arial"/>
          <w:sz w:val="20"/>
          <w:szCs w:val="20"/>
        </w:rPr>
        <w:t xml:space="preserve">, </w:t>
      </w:r>
      <w:proofErr w:type="spellStart"/>
      <w:r w:rsidRPr="003F12E2">
        <w:rPr>
          <w:rFonts w:ascii="Arial" w:hAnsi="Arial"/>
          <w:sz w:val="20"/>
          <w:szCs w:val="20"/>
        </w:rPr>
        <w:t>Wingfield</w:t>
      </w:r>
      <w:proofErr w:type="spellEnd"/>
      <w:r w:rsidRPr="003F12E2">
        <w:rPr>
          <w:rFonts w:ascii="Arial" w:hAnsi="Arial"/>
          <w:sz w:val="20"/>
          <w:szCs w:val="20"/>
        </w:rPr>
        <w:t xml:space="preserve"> T</w:t>
      </w:r>
      <w:r w:rsidRPr="003F12E2">
        <w:rPr>
          <w:rFonts w:ascii="Arial" w:hAnsi="Arial"/>
          <w:sz w:val="20"/>
          <w:szCs w:val="20"/>
          <w:vertAlign w:val="superscript"/>
        </w:rPr>
        <w:t>1,2,3,4</w:t>
      </w:r>
      <w:r w:rsidRPr="003F12E2">
        <w:rPr>
          <w:rFonts w:ascii="Arial" w:hAnsi="Arial"/>
          <w:sz w:val="20"/>
          <w:szCs w:val="20"/>
        </w:rPr>
        <w:t xml:space="preserve">, </w:t>
      </w:r>
      <w:proofErr w:type="spellStart"/>
      <w:r w:rsidRPr="003F12E2">
        <w:rPr>
          <w:rFonts w:ascii="Arial" w:hAnsi="Arial"/>
          <w:sz w:val="20"/>
          <w:szCs w:val="20"/>
        </w:rPr>
        <w:t>Datta</w:t>
      </w:r>
      <w:proofErr w:type="spellEnd"/>
      <w:r w:rsidRPr="003F12E2">
        <w:rPr>
          <w:rFonts w:ascii="Arial" w:hAnsi="Arial"/>
          <w:sz w:val="20"/>
          <w:szCs w:val="20"/>
        </w:rPr>
        <w:t xml:space="preserve"> S</w:t>
      </w:r>
      <w:r w:rsidRPr="003F12E2">
        <w:rPr>
          <w:rFonts w:ascii="Arial" w:hAnsi="Arial"/>
          <w:sz w:val="20"/>
          <w:szCs w:val="20"/>
          <w:vertAlign w:val="superscript"/>
        </w:rPr>
        <w:t>1,2,3,5</w:t>
      </w:r>
      <w:r w:rsidRPr="003F12E2">
        <w:rPr>
          <w:rFonts w:ascii="Arial" w:hAnsi="Arial"/>
          <w:sz w:val="20"/>
          <w:szCs w:val="20"/>
        </w:rPr>
        <w:t>, Montoya R</w:t>
      </w:r>
      <w:r w:rsidRPr="003F12E2">
        <w:rPr>
          <w:rFonts w:ascii="Arial" w:hAnsi="Arial"/>
          <w:sz w:val="20"/>
          <w:szCs w:val="20"/>
          <w:vertAlign w:val="superscript"/>
        </w:rPr>
        <w:t>1</w:t>
      </w:r>
      <w:r w:rsidRPr="003F12E2">
        <w:rPr>
          <w:rFonts w:ascii="Arial" w:hAnsi="Arial"/>
          <w:sz w:val="20"/>
          <w:szCs w:val="20"/>
        </w:rPr>
        <w:t>, Valencia TR</w:t>
      </w:r>
      <w:r w:rsidRPr="003F12E2">
        <w:rPr>
          <w:rFonts w:ascii="Arial" w:hAnsi="Arial"/>
          <w:sz w:val="20"/>
          <w:szCs w:val="20"/>
          <w:vertAlign w:val="superscript"/>
        </w:rPr>
        <w:t>2</w:t>
      </w:r>
      <w:r w:rsidRPr="003F12E2">
        <w:rPr>
          <w:rFonts w:ascii="Arial" w:hAnsi="Arial"/>
          <w:sz w:val="20"/>
          <w:szCs w:val="20"/>
        </w:rPr>
        <w:t>,Santillan C</w:t>
      </w:r>
      <w:r w:rsidRPr="003F12E2">
        <w:rPr>
          <w:rFonts w:ascii="Arial" w:hAnsi="Arial"/>
          <w:sz w:val="20"/>
          <w:szCs w:val="20"/>
          <w:vertAlign w:val="superscript"/>
        </w:rPr>
        <w:t>1,2</w:t>
      </w:r>
      <w:r w:rsidRPr="003F12E2">
        <w:rPr>
          <w:rFonts w:ascii="Arial" w:hAnsi="Arial"/>
          <w:sz w:val="20"/>
          <w:szCs w:val="20"/>
        </w:rPr>
        <w:t xml:space="preserve">, </w:t>
      </w:r>
      <w:proofErr w:type="spellStart"/>
      <w:r w:rsidRPr="003F12E2">
        <w:rPr>
          <w:rFonts w:ascii="Arial" w:hAnsi="Arial"/>
          <w:sz w:val="20"/>
          <w:szCs w:val="20"/>
        </w:rPr>
        <w:t>Necochea</w:t>
      </w:r>
      <w:proofErr w:type="spellEnd"/>
      <w:r w:rsidRPr="003F12E2">
        <w:rPr>
          <w:rFonts w:ascii="Arial" w:hAnsi="Arial"/>
          <w:sz w:val="20"/>
          <w:szCs w:val="20"/>
        </w:rPr>
        <w:t xml:space="preserve"> A</w:t>
      </w:r>
      <w:r w:rsidRPr="003F12E2">
        <w:rPr>
          <w:rFonts w:ascii="Arial" w:hAnsi="Arial"/>
          <w:sz w:val="20"/>
          <w:szCs w:val="20"/>
          <w:vertAlign w:val="superscript"/>
        </w:rPr>
        <w:t>1</w:t>
      </w:r>
      <w:r w:rsidRPr="003F12E2">
        <w:rPr>
          <w:rFonts w:ascii="Arial" w:hAnsi="Arial"/>
          <w:sz w:val="20"/>
          <w:szCs w:val="20"/>
        </w:rPr>
        <w:t>, Baldwin MR</w:t>
      </w:r>
      <w:r w:rsidRPr="003F12E2">
        <w:rPr>
          <w:rFonts w:ascii="Arial" w:hAnsi="Arial"/>
          <w:sz w:val="20"/>
          <w:szCs w:val="20"/>
          <w:vertAlign w:val="superscript"/>
        </w:rPr>
        <w:t>1</w:t>
      </w:r>
      <w:r w:rsidRPr="003F12E2">
        <w:rPr>
          <w:rFonts w:ascii="Arial" w:hAnsi="Arial"/>
          <w:sz w:val="20"/>
          <w:szCs w:val="20"/>
        </w:rPr>
        <w:t>, Gilman RH</w:t>
      </w:r>
      <w:r w:rsidRPr="003F12E2">
        <w:rPr>
          <w:rFonts w:ascii="Arial" w:hAnsi="Arial"/>
          <w:sz w:val="20"/>
          <w:szCs w:val="20"/>
          <w:vertAlign w:val="superscript"/>
        </w:rPr>
        <w:t>5</w:t>
      </w:r>
      <w:r w:rsidRPr="003F12E2">
        <w:rPr>
          <w:rFonts w:ascii="Arial" w:hAnsi="Arial"/>
          <w:sz w:val="20"/>
          <w:szCs w:val="20"/>
        </w:rPr>
        <w:t xml:space="preserve">, </w:t>
      </w:r>
      <w:proofErr w:type="spellStart"/>
      <w:r w:rsidRPr="003F12E2">
        <w:rPr>
          <w:rFonts w:ascii="Arial" w:hAnsi="Arial"/>
          <w:sz w:val="20"/>
          <w:szCs w:val="20"/>
        </w:rPr>
        <w:t>Friedland</w:t>
      </w:r>
      <w:proofErr w:type="spellEnd"/>
      <w:r w:rsidRPr="003F12E2">
        <w:rPr>
          <w:rFonts w:ascii="Arial" w:hAnsi="Arial"/>
          <w:sz w:val="20"/>
          <w:szCs w:val="20"/>
        </w:rPr>
        <w:t xml:space="preserve"> JS</w:t>
      </w:r>
      <w:r w:rsidRPr="003F12E2">
        <w:rPr>
          <w:rFonts w:ascii="Arial" w:hAnsi="Arial"/>
          <w:sz w:val="20"/>
          <w:szCs w:val="20"/>
          <w:vertAlign w:val="superscript"/>
        </w:rPr>
        <w:t>3</w:t>
      </w:r>
      <w:r w:rsidRPr="003F12E2">
        <w:rPr>
          <w:rFonts w:ascii="Arial" w:hAnsi="Arial"/>
          <w:sz w:val="20"/>
          <w:szCs w:val="20"/>
        </w:rPr>
        <w:t>, Evans CA</w:t>
      </w:r>
      <w:r w:rsidRPr="003F12E2">
        <w:rPr>
          <w:rFonts w:ascii="Arial" w:hAnsi="Arial"/>
          <w:sz w:val="20"/>
          <w:szCs w:val="20"/>
          <w:vertAlign w:val="superscript"/>
        </w:rPr>
        <w:t>1,2,3</w:t>
      </w:r>
    </w:p>
    <w:p w:rsidR="000C50E4" w:rsidRPr="003F12E2" w:rsidRDefault="000C50E4" w:rsidP="000C50E4">
      <w:pPr>
        <w:spacing w:line="360" w:lineRule="auto"/>
        <w:rPr>
          <w:rFonts w:ascii="Arial" w:hAnsi="Arial"/>
          <w:sz w:val="20"/>
          <w:szCs w:val="20"/>
        </w:rPr>
      </w:pPr>
    </w:p>
    <w:p w:rsidR="000C50E4" w:rsidRPr="003F12E2" w:rsidRDefault="000C50E4" w:rsidP="000C5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95"/>
        <w:rPr>
          <w:rFonts w:ascii="Arial" w:hAnsi="Arial" w:cs="AdvP403A40"/>
          <w:sz w:val="20"/>
          <w:szCs w:val="20"/>
          <w:lang w:val="en-GB"/>
        </w:rPr>
      </w:pP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Innovación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Por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la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Salud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Y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Desarrollo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(IPSYD),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Asociación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Benéfica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PRISMA, Lima,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Perú</w:t>
      </w:r>
      <w:proofErr w:type="spellEnd"/>
    </w:p>
    <w:p w:rsidR="000C50E4" w:rsidRPr="003F12E2" w:rsidRDefault="000C50E4" w:rsidP="000C5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95"/>
        <w:rPr>
          <w:rFonts w:ascii="Arial" w:hAnsi="Arial"/>
          <w:sz w:val="20"/>
          <w:szCs w:val="20"/>
          <w:lang w:val="en-GB"/>
        </w:rPr>
      </w:pPr>
      <w:r w:rsidRPr="003F12E2">
        <w:rPr>
          <w:rFonts w:ascii="Arial" w:hAnsi="Arial" w:cs="AdvP403A40"/>
          <w:sz w:val="20"/>
          <w:szCs w:val="20"/>
          <w:lang w:val="en-GB"/>
        </w:rPr>
        <w:t xml:space="preserve">Innovation For Health And Development (IFHAD), Laboratory of Research and Development, Universidad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Peruana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Cayetano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Heredia, Lima,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Perú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</w:t>
      </w:r>
    </w:p>
    <w:p w:rsidR="000C50E4" w:rsidRPr="003F12E2" w:rsidRDefault="000C50E4" w:rsidP="000C5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95"/>
        <w:rPr>
          <w:rFonts w:ascii="Arial" w:hAnsi="Arial" w:cs="AdvP403A40"/>
          <w:sz w:val="20"/>
          <w:szCs w:val="20"/>
          <w:lang w:val="en-GB"/>
        </w:rPr>
      </w:pPr>
      <w:r w:rsidRPr="003F12E2">
        <w:rPr>
          <w:rFonts w:ascii="Arial" w:hAnsi="Arial" w:cs="AdvP403A40"/>
          <w:sz w:val="20"/>
          <w:szCs w:val="20"/>
          <w:lang w:val="en-GB"/>
        </w:rPr>
        <w:t xml:space="preserve">Innovation For Health And Development (IFHAD), Infectious Diseases &amp; Immunity, Imperial College London, and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Wellcome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Trust Imperial College Centre for Global Health Research, London, UK</w:t>
      </w:r>
    </w:p>
    <w:p w:rsidR="000C50E4" w:rsidRPr="003F12E2" w:rsidRDefault="000C50E4" w:rsidP="000C5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95"/>
        <w:rPr>
          <w:rFonts w:ascii="Arial" w:hAnsi="Arial" w:cs="AdvP403A40"/>
          <w:sz w:val="20"/>
          <w:szCs w:val="20"/>
          <w:lang w:val="en-GB"/>
        </w:rPr>
      </w:pPr>
      <w:r w:rsidRPr="003F12E2">
        <w:rPr>
          <w:rFonts w:ascii="Arial" w:hAnsi="Arial" w:cs="AdvP403A40"/>
          <w:sz w:val="20"/>
          <w:szCs w:val="20"/>
          <w:lang w:val="en-GB"/>
        </w:rPr>
        <w:t xml:space="preserve">The </w:t>
      </w:r>
      <w:proofErr w:type="spellStart"/>
      <w:r w:rsidRPr="003F12E2">
        <w:rPr>
          <w:rFonts w:ascii="Arial" w:hAnsi="Arial" w:cs="AdvP403A40"/>
          <w:sz w:val="20"/>
          <w:szCs w:val="20"/>
          <w:lang w:val="en-GB"/>
        </w:rPr>
        <w:t>Monsall</w:t>
      </w:r>
      <w:proofErr w:type="spellEnd"/>
      <w:r w:rsidRPr="003F12E2">
        <w:rPr>
          <w:rFonts w:ascii="Arial" w:hAnsi="Arial" w:cs="AdvP403A40"/>
          <w:sz w:val="20"/>
          <w:szCs w:val="20"/>
          <w:lang w:val="en-GB"/>
        </w:rPr>
        <w:t xml:space="preserve"> Infectious Diseases Unit, North Manchester General Hospital, Manchester, UK</w:t>
      </w:r>
    </w:p>
    <w:p w:rsidR="000C50E4" w:rsidRPr="003F12E2" w:rsidRDefault="000C50E4" w:rsidP="000C50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right="95"/>
        <w:rPr>
          <w:rFonts w:ascii="Arial" w:hAnsi="Arial"/>
          <w:sz w:val="20"/>
          <w:szCs w:val="20"/>
          <w:lang w:val="en-GB"/>
        </w:rPr>
      </w:pPr>
      <w:r w:rsidRPr="003F12E2">
        <w:rPr>
          <w:rFonts w:ascii="Arial" w:hAnsi="Arial" w:cs="AdvP403A40"/>
          <w:sz w:val="20"/>
          <w:szCs w:val="20"/>
          <w:lang w:val="en-GB"/>
        </w:rPr>
        <w:t>Johns Hopkins Bloomberg School of Public Health, Baltimore, USA</w:t>
      </w:r>
    </w:p>
    <w:p w:rsidR="000C50E4" w:rsidRPr="003F12E2" w:rsidRDefault="000C50E4" w:rsidP="000C50E4">
      <w:pPr>
        <w:autoSpaceDE w:val="0"/>
        <w:autoSpaceDN w:val="0"/>
        <w:adjustRightInd w:val="0"/>
        <w:spacing w:line="360" w:lineRule="auto"/>
        <w:ind w:right="95"/>
        <w:rPr>
          <w:rFonts w:ascii="Arial" w:hAnsi="Arial" w:cs="Arial"/>
          <w:sz w:val="20"/>
          <w:szCs w:val="20"/>
        </w:rPr>
      </w:pPr>
    </w:p>
    <w:p w:rsidR="000C50E4" w:rsidRPr="003F12E2" w:rsidRDefault="000C50E4" w:rsidP="000C50E4">
      <w:pPr>
        <w:spacing w:line="360" w:lineRule="auto"/>
        <w:rPr>
          <w:rFonts w:ascii="Arial" w:hAnsi="Arial"/>
          <w:b/>
          <w:sz w:val="20"/>
          <w:szCs w:val="20"/>
        </w:rPr>
      </w:pPr>
      <w:r w:rsidRPr="003F12E2">
        <w:rPr>
          <w:rFonts w:ascii="Arial" w:hAnsi="Arial"/>
          <w:b/>
          <w:sz w:val="20"/>
          <w:szCs w:val="20"/>
        </w:rPr>
        <w:t xml:space="preserve">BACKGROUND. </w:t>
      </w:r>
      <w:r w:rsidRPr="003F12E2">
        <w:rPr>
          <w:rFonts w:ascii="Arial" w:hAnsi="Arial"/>
          <w:sz w:val="20"/>
          <w:szCs w:val="20"/>
        </w:rPr>
        <w:t xml:space="preserve">Tuberculosis predominately affects undernourished people and is associated with low serum vitamin D, vitamin A and zinc concentrations. Clinical trials evaluating the effect of micronutrient supplementation on prevention of tuberculosis disease are lacking. </w:t>
      </w:r>
    </w:p>
    <w:p w:rsidR="000C50E4" w:rsidRPr="003F12E2" w:rsidRDefault="000C50E4" w:rsidP="000C50E4">
      <w:pPr>
        <w:spacing w:line="360" w:lineRule="auto"/>
        <w:rPr>
          <w:rFonts w:ascii="Arial" w:hAnsi="Arial"/>
          <w:b/>
          <w:sz w:val="20"/>
          <w:szCs w:val="20"/>
        </w:rPr>
      </w:pPr>
    </w:p>
    <w:p w:rsidR="000C50E4" w:rsidRPr="003F12E2" w:rsidRDefault="000C50E4" w:rsidP="000C50E4">
      <w:pPr>
        <w:spacing w:line="360" w:lineRule="auto"/>
        <w:rPr>
          <w:rFonts w:ascii="Arial" w:hAnsi="Arial" w:cs="Arial"/>
          <w:color w:val="0E0E0E"/>
          <w:sz w:val="20"/>
          <w:szCs w:val="20"/>
        </w:rPr>
      </w:pPr>
      <w:r w:rsidRPr="003F12E2">
        <w:rPr>
          <w:rFonts w:ascii="Arial" w:hAnsi="Arial"/>
          <w:b/>
          <w:sz w:val="20"/>
          <w:szCs w:val="20"/>
        </w:rPr>
        <w:t xml:space="preserve">METHODS. </w:t>
      </w:r>
      <w:r w:rsidRPr="003F12E2">
        <w:rPr>
          <w:rFonts w:ascii="Arial" w:hAnsi="Arial"/>
          <w:sz w:val="20"/>
          <w:szCs w:val="20"/>
        </w:rPr>
        <w:t xml:space="preserve">We undertook a double-blind randomised controlled trial of micronutrient supplementation in the household contacts aged </w:t>
      </w:r>
      <w:r w:rsidRPr="003F12E2">
        <w:rPr>
          <w:rFonts w:ascii="Arial" w:eastAsia="ＭＳ ゴシック" w:hAnsi="Arial" w:cs="Arial"/>
          <w:color w:val="000000"/>
          <w:sz w:val="20"/>
          <w:szCs w:val="20"/>
        </w:rPr>
        <w:t>≥</w:t>
      </w:r>
      <w:r w:rsidRPr="003F12E2">
        <w:rPr>
          <w:rFonts w:ascii="Arial" w:hAnsi="Arial" w:cs="Arial"/>
          <w:sz w:val="20"/>
          <w:szCs w:val="20"/>
        </w:rPr>
        <w:t>15 years</w:t>
      </w:r>
      <w:r w:rsidRPr="003F12E2">
        <w:rPr>
          <w:rFonts w:ascii="Arial" w:hAnsi="Arial"/>
          <w:sz w:val="20"/>
          <w:szCs w:val="20"/>
        </w:rPr>
        <w:t xml:space="preserve"> of newly diagnosed patients with smear-positive, pulmonary tuberculosis in Callao, </w:t>
      </w:r>
      <w:proofErr w:type="spellStart"/>
      <w:r w:rsidRPr="003F12E2">
        <w:rPr>
          <w:rFonts w:ascii="Arial" w:hAnsi="Arial"/>
          <w:sz w:val="20"/>
          <w:szCs w:val="20"/>
        </w:rPr>
        <w:t>Perú</w:t>
      </w:r>
      <w:proofErr w:type="spellEnd"/>
      <w:r w:rsidRPr="003F12E2">
        <w:rPr>
          <w:rFonts w:ascii="Arial" w:hAnsi="Arial"/>
          <w:sz w:val="20"/>
          <w:szCs w:val="20"/>
        </w:rPr>
        <w:t xml:space="preserve">. </w:t>
      </w:r>
      <w:r w:rsidRPr="003F12E2">
        <w:rPr>
          <w:rFonts w:ascii="Arial" w:hAnsi="Arial" w:cs="Arial"/>
          <w:color w:val="0E0E0E"/>
          <w:sz w:val="20"/>
          <w:szCs w:val="20"/>
        </w:rPr>
        <w:t xml:space="preserve">The contacts in half of the households were randomised to receive combined vitamin A (5000 international units), vitamin D (400 international units) and zinc (25mg elemental zinc as zinc sulphate) </w:t>
      </w:r>
      <w:proofErr w:type="gramStart"/>
      <w:r w:rsidRPr="003F12E2">
        <w:rPr>
          <w:rFonts w:ascii="Arial" w:hAnsi="Arial" w:cs="Arial"/>
          <w:color w:val="0E0E0E"/>
          <w:sz w:val="20"/>
          <w:szCs w:val="20"/>
        </w:rPr>
        <w:t>once-daily</w:t>
      </w:r>
      <w:proofErr w:type="gramEnd"/>
      <w:r w:rsidRPr="003F12E2">
        <w:rPr>
          <w:rFonts w:ascii="Arial" w:hAnsi="Arial" w:cs="Arial"/>
          <w:color w:val="0E0E0E"/>
          <w:sz w:val="20"/>
          <w:szCs w:val="20"/>
        </w:rPr>
        <w:t xml:space="preserve"> for 6 months. The contacts in the other half of the households were randomised to placebo. We visited households every 2-4 weeks during supplementation and performed pill counts to measure adherence. Contacts were followed-up in collaboration with the national TB </w:t>
      </w:r>
      <w:r>
        <w:rPr>
          <w:rFonts w:ascii="Arial" w:hAnsi="Arial" w:cs="Arial"/>
          <w:color w:val="0E0E0E"/>
          <w:sz w:val="20"/>
          <w:szCs w:val="20"/>
        </w:rPr>
        <w:t>program for median 11 years</w:t>
      </w:r>
      <w:r w:rsidRPr="003F12E2">
        <w:rPr>
          <w:rFonts w:ascii="Arial" w:hAnsi="Arial" w:cs="Arial"/>
          <w:color w:val="0E0E0E"/>
          <w:sz w:val="20"/>
          <w:szCs w:val="20"/>
        </w:rPr>
        <w:t>, including prevalence surveys performed 3 and 6 years after recruitment. I</w:t>
      </w:r>
      <w:r>
        <w:rPr>
          <w:rFonts w:ascii="Arial" w:hAnsi="Arial" w:cs="Arial"/>
          <w:color w:val="0E0E0E"/>
          <w:sz w:val="20"/>
          <w:szCs w:val="20"/>
        </w:rPr>
        <w:t>n intention-to-treat analysis, C</w:t>
      </w:r>
      <w:r w:rsidRPr="003F12E2">
        <w:rPr>
          <w:rFonts w:ascii="Arial" w:hAnsi="Arial" w:cs="Arial"/>
          <w:color w:val="0E0E0E"/>
          <w:sz w:val="20"/>
          <w:szCs w:val="20"/>
        </w:rPr>
        <w:t xml:space="preserve">ox-proportional hazards analysis was used to evaluate the effect of supplementation on the risk of tuberculosis disease. </w:t>
      </w:r>
    </w:p>
    <w:p w:rsidR="000C50E4" w:rsidRPr="003F12E2" w:rsidRDefault="000C50E4" w:rsidP="000C50E4">
      <w:pPr>
        <w:spacing w:line="360" w:lineRule="auto"/>
        <w:rPr>
          <w:rFonts w:ascii="Arial" w:hAnsi="Arial"/>
          <w:b/>
          <w:i/>
          <w:sz w:val="20"/>
          <w:szCs w:val="20"/>
        </w:rPr>
      </w:pPr>
    </w:p>
    <w:p w:rsidR="000C50E4" w:rsidRPr="003F12E2" w:rsidRDefault="000C50E4" w:rsidP="000C50E4">
      <w:pPr>
        <w:spacing w:line="360" w:lineRule="auto"/>
        <w:rPr>
          <w:rFonts w:ascii="Arial" w:hAnsi="Arial"/>
          <w:sz w:val="20"/>
          <w:szCs w:val="20"/>
        </w:rPr>
      </w:pPr>
      <w:r w:rsidRPr="003F12E2">
        <w:rPr>
          <w:rFonts w:ascii="Arial" w:hAnsi="Arial"/>
          <w:b/>
          <w:sz w:val="20"/>
          <w:szCs w:val="20"/>
        </w:rPr>
        <w:t xml:space="preserve">RESULTS. </w:t>
      </w:r>
      <w:r w:rsidRPr="003F12E2">
        <w:rPr>
          <w:rFonts w:ascii="Arial" w:hAnsi="Arial"/>
          <w:sz w:val="20"/>
          <w:szCs w:val="20"/>
        </w:rPr>
        <w:t>1,987 contacts of 708 index cases were included in the primary analysis. 8.1% (95%CI</w:t>
      </w:r>
      <w:proofErr w:type="gramStart"/>
      <w:r w:rsidRPr="003F12E2">
        <w:rPr>
          <w:rFonts w:ascii="Arial" w:hAnsi="Arial"/>
          <w:sz w:val="20"/>
          <w:szCs w:val="20"/>
        </w:rPr>
        <w:t>:6.9</w:t>
      </w:r>
      <w:proofErr w:type="gramEnd"/>
      <w:r w:rsidRPr="003F12E2">
        <w:rPr>
          <w:rFonts w:ascii="Arial" w:hAnsi="Arial"/>
          <w:sz w:val="20"/>
          <w:szCs w:val="20"/>
        </w:rPr>
        <w:t xml:space="preserve">-9.4, n=161/1,987) of contacts developed tuberculosis and micronutrient supplementation </w:t>
      </w:r>
      <w:r>
        <w:rPr>
          <w:rFonts w:ascii="Arial" w:hAnsi="Arial"/>
          <w:sz w:val="20"/>
          <w:szCs w:val="20"/>
        </w:rPr>
        <w:t>did not affect this risk (</w:t>
      </w:r>
      <w:r w:rsidRPr="003F12E2">
        <w:rPr>
          <w:rFonts w:ascii="Arial" w:hAnsi="Arial"/>
          <w:sz w:val="20"/>
          <w:szCs w:val="20"/>
        </w:rPr>
        <w:t>HR=1.07, 95%CI:0.76-1.51, p=0.69).  In sub-group analyses, supplemen</w:t>
      </w:r>
      <w:bookmarkStart w:id="0" w:name="_GoBack"/>
      <w:bookmarkEnd w:id="0"/>
      <w:r w:rsidRPr="003F12E2">
        <w:rPr>
          <w:rFonts w:ascii="Arial" w:hAnsi="Arial"/>
          <w:sz w:val="20"/>
          <w:szCs w:val="20"/>
        </w:rPr>
        <w:t>tation did not significantly affect the risk of tuberculosis in the poorest (HR=1.4, 95%CI:</w:t>
      </w:r>
      <w:r>
        <w:rPr>
          <w:rFonts w:ascii="Arial" w:hAnsi="Arial"/>
          <w:sz w:val="20"/>
          <w:szCs w:val="20"/>
        </w:rPr>
        <w:t xml:space="preserve"> </w:t>
      </w:r>
      <w:r w:rsidRPr="003F12E2">
        <w:rPr>
          <w:rFonts w:ascii="Arial" w:hAnsi="Arial"/>
          <w:sz w:val="20"/>
          <w:szCs w:val="20"/>
        </w:rPr>
        <w:t>0.81-2.4), underweight (BMI&lt;20</w:t>
      </w:r>
      <w:r w:rsidRPr="003F12E2">
        <w:rPr>
          <w:rFonts w:ascii="Arial" w:hAnsi="Arial" w:cs="Arial"/>
          <w:bCs/>
          <w:color w:val="1A1A1A"/>
          <w:sz w:val="20"/>
          <w:szCs w:val="20"/>
          <w:lang w:val="en-US"/>
        </w:rPr>
        <w:t xml:space="preserve"> kg</w:t>
      </w:r>
      <w:r w:rsidRPr="003F12E2">
        <w:rPr>
          <w:rFonts w:ascii="Arial" w:hAnsi="Arial" w:cs="Arial"/>
          <w:color w:val="1A1A1A"/>
          <w:sz w:val="20"/>
          <w:szCs w:val="20"/>
          <w:lang w:val="en-US"/>
        </w:rPr>
        <w:t>/m</w:t>
      </w:r>
      <w:r w:rsidRPr="003F12E2">
        <w:rPr>
          <w:rFonts w:ascii="Arial" w:hAnsi="Arial" w:cs="Arial"/>
          <w:color w:val="1A1A1A"/>
          <w:sz w:val="20"/>
          <w:szCs w:val="20"/>
          <w:vertAlign w:val="superscript"/>
          <w:lang w:val="en-US"/>
        </w:rPr>
        <w:t>2</w:t>
      </w:r>
      <w:r w:rsidRPr="003F12E2">
        <w:rPr>
          <w:rFonts w:ascii="Arial" w:hAnsi="Arial"/>
          <w:sz w:val="20"/>
          <w:szCs w:val="20"/>
        </w:rPr>
        <w:t>) (HR=1.7, 95%CI:</w:t>
      </w:r>
      <w:r>
        <w:rPr>
          <w:rFonts w:ascii="Arial" w:hAnsi="Arial"/>
          <w:sz w:val="20"/>
          <w:szCs w:val="20"/>
        </w:rPr>
        <w:t xml:space="preserve"> </w:t>
      </w:r>
      <w:r w:rsidRPr="003F12E2">
        <w:rPr>
          <w:rFonts w:ascii="Arial" w:hAnsi="Arial"/>
          <w:sz w:val="20"/>
          <w:szCs w:val="20"/>
        </w:rPr>
        <w:t>0.83-3.3)</w:t>
      </w:r>
      <w:r>
        <w:rPr>
          <w:rFonts w:ascii="Arial" w:hAnsi="Arial"/>
          <w:sz w:val="20"/>
          <w:szCs w:val="20"/>
        </w:rPr>
        <w:t>, TST positive (</w:t>
      </w:r>
      <w:r w:rsidRPr="003F12E2">
        <w:rPr>
          <w:rFonts w:ascii="Arial" w:hAnsi="Arial"/>
          <w:sz w:val="20"/>
          <w:szCs w:val="20"/>
        </w:rPr>
        <w:t>HR=1.1, 95%CI:</w:t>
      </w:r>
      <w:r>
        <w:rPr>
          <w:rFonts w:ascii="Arial" w:hAnsi="Arial"/>
          <w:sz w:val="20"/>
          <w:szCs w:val="20"/>
        </w:rPr>
        <w:t xml:space="preserve"> </w:t>
      </w:r>
      <w:r w:rsidRPr="003F12E2">
        <w:rPr>
          <w:rFonts w:ascii="Arial" w:hAnsi="Arial"/>
          <w:sz w:val="20"/>
          <w:szCs w:val="20"/>
        </w:rPr>
        <w:t>0.69-1.6)</w:t>
      </w:r>
      <w:r>
        <w:rPr>
          <w:rFonts w:ascii="Arial" w:hAnsi="Arial"/>
          <w:sz w:val="20"/>
          <w:szCs w:val="20"/>
        </w:rPr>
        <w:t xml:space="preserve"> and adherent (</w:t>
      </w:r>
      <w:r w:rsidRPr="003F12E2">
        <w:rPr>
          <w:rFonts w:ascii="Arial" w:hAnsi="Arial"/>
          <w:sz w:val="20"/>
          <w:szCs w:val="20"/>
        </w:rPr>
        <w:t>HR=1.0, 95%CI: 0.69-1.5) contacts.</w:t>
      </w:r>
    </w:p>
    <w:p w:rsidR="000C50E4" w:rsidRPr="003F12E2" w:rsidRDefault="000C50E4" w:rsidP="000C50E4">
      <w:pPr>
        <w:spacing w:line="360" w:lineRule="auto"/>
        <w:rPr>
          <w:rFonts w:ascii="Arial" w:hAnsi="Arial"/>
          <w:b/>
          <w:i/>
          <w:sz w:val="20"/>
          <w:szCs w:val="20"/>
        </w:rPr>
      </w:pPr>
    </w:p>
    <w:p w:rsidR="000C50E4" w:rsidRPr="003F12E2" w:rsidRDefault="000C50E4" w:rsidP="000C50E4">
      <w:pPr>
        <w:spacing w:line="360" w:lineRule="auto"/>
        <w:rPr>
          <w:rFonts w:ascii="Arial" w:hAnsi="Arial"/>
          <w:sz w:val="20"/>
          <w:szCs w:val="20"/>
        </w:rPr>
        <w:sectPr w:rsidR="000C50E4" w:rsidRPr="003F12E2" w:rsidSect="00D75070">
          <w:pgSz w:w="11900" w:h="16840"/>
          <w:pgMar w:top="1440" w:right="985" w:bottom="1440" w:left="1134" w:header="708" w:footer="708" w:gutter="0"/>
          <w:cols w:space="708"/>
          <w:docGrid w:linePitch="360"/>
        </w:sectPr>
      </w:pPr>
      <w:r w:rsidRPr="003F12E2">
        <w:rPr>
          <w:rFonts w:ascii="Arial" w:hAnsi="Arial"/>
          <w:b/>
          <w:sz w:val="20"/>
          <w:szCs w:val="20"/>
        </w:rPr>
        <w:t>CONCLUSION</w:t>
      </w:r>
      <w:r w:rsidRPr="003F12E2">
        <w:rPr>
          <w:rFonts w:ascii="Arial" w:hAnsi="Arial"/>
          <w:sz w:val="20"/>
          <w:szCs w:val="20"/>
        </w:rPr>
        <w:t>.</w:t>
      </w:r>
      <w:r w:rsidRPr="003F12E2">
        <w:rPr>
          <w:rFonts w:ascii="Arial" w:hAnsi="Arial"/>
          <w:b/>
          <w:sz w:val="20"/>
          <w:szCs w:val="20"/>
        </w:rPr>
        <w:t xml:space="preserve"> </w:t>
      </w:r>
      <w:r w:rsidRPr="003F12E2">
        <w:rPr>
          <w:rFonts w:ascii="Arial" w:hAnsi="Arial"/>
          <w:sz w:val="20"/>
          <w:szCs w:val="20"/>
        </w:rPr>
        <w:t>These micronutrient supplements are not recommended because they did not affect the risk of tuberculosis disease in patients’ household contacts.</w:t>
      </w:r>
    </w:p>
    <w:p w:rsidR="00724B1C" w:rsidRDefault="00724B1C" w:rsidP="000C50E4">
      <w:pPr>
        <w:tabs>
          <w:tab w:val="left" w:pos="0"/>
        </w:tabs>
      </w:pPr>
    </w:p>
    <w:sectPr w:rsidR="00724B1C" w:rsidSect="000C50E4">
      <w:pgSz w:w="11900" w:h="16840"/>
      <w:pgMar w:top="1440" w:right="1127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dvP41461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P403A4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351C0"/>
    <w:multiLevelType w:val="hybridMultilevel"/>
    <w:tmpl w:val="19FE8974"/>
    <w:lvl w:ilvl="0" w:tplc="D7487B00">
      <w:start w:val="1"/>
      <w:numFmt w:val="decimal"/>
      <w:lvlText w:val="%1)"/>
      <w:lvlJc w:val="left"/>
      <w:pPr>
        <w:ind w:left="720" w:hanging="360"/>
      </w:pPr>
      <w:rPr>
        <w:rFonts w:cs="AdvP41461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1763"/>
    <w:multiLevelType w:val="hybridMultilevel"/>
    <w:tmpl w:val="19FE8974"/>
    <w:lvl w:ilvl="0" w:tplc="D7487B00">
      <w:start w:val="1"/>
      <w:numFmt w:val="decimal"/>
      <w:lvlText w:val="%1)"/>
      <w:lvlJc w:val="left"/>
      <w:pPr>
        <w:ind w:left="720" w:hanging="360"/>
      </w:pPr>
      <w:rPr>
        <w:rFonts w:cs="AdvP41461E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E4"/>
    <w:rsid w:val="000C50E4"/>
    <w:rsid w:val="0072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A883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E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0E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P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E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0E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431</Words>
  <Characters>2461</Characters>
  <Application>Microsoft Macintosh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Saunders</dc:creator>
  <cp:keywords/>
  <dc:description/>
  <cp:lastModifiedBy>Matthew Saunders</cp:lastModifiedBy>
  <cp:revision>1</cp:revision>
  <dcterms:created xsi:type="dcterms:W3CDTF">2015-10-22T15:34:00Z</dcterms:created>
  <dcterms:modified xsi:type="dcterms:W3CDTF">2015-10-22T15:40:00Z</dcterms:modified>
</cp:coreProperties>
</file>