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68908" w14:textId="3CE578DA" w:rsidR="00B55321" w:rsidRPr="009F3982" w:rsidRDefault="0074137D" w:rsidP="00D75070">
      <w:pPr>
        <w:spacing w:line="360" w:lineRule="auto"/>
        <w:ind w:right="-532"/>
        <w:rPr>
          <w:rFonts w:ascii="Arial" w:hAnsi="Arial" w:cs="Arial"/>
          <w:sz w:val="20"/>
          <w:szCs w:val="20"/>
        </w:rPr>
      </w:pPr>
      <w:r w:rsidRPr="009F3982">
        <w:rPr>
          <w:rFonts w:ascii="Arial" w:hAnsi="Arial" w:cs="Arial"/>
          <w:b/>
          <w:bCs/>
          <w:color w:val="1A1A1A"/>
          <w:sz w:val="20"/>
          <w:szCs w:val="20"/>
        </w:rPr>
        <w:t>TITLE</w:t>
      </w:r>
      <w:r w:rsidRPr="009F3982">
        <w:rPr>
          <w:rFonts w:ascii="Arial" w:hAnsi="Arial" w:cs="Arial"/>
          <w:bCs/>
          <w:color w:val="1A1A1A"/>
          <w:sz w:val="20"/>
          <w:szCs w:val="20"/>
        </w:rPr>
        <w:t xml:space="preserve">: </w:t>
      </w:r>
      <w:r w:rsidR="006C248B" w:rsidRPr="009F3982">
        <w:rPr>
          <w:rFonts w:ascii="Arial" w:hAnsi="Arial" w:cs="Arial"/>
          <w:bCs/>
          <w:color w:val="1A1A1A"/>
          <w:sz w:val="20"/>
          <w:szCs w:val="20"/>
        </w:rPr>
        <w:t xml:space="preserve">Tuberculosis – who is at highest risk? </w:t>
      </w:r>
      <w:r w:rsidR="0077435D" w:rsidRPr="009F3982">
        <w:rPr>
          <w:rFonts w:ascii="Arial" w:hAnsi="Arial" w:cs="Arial"/>
          <w:bCs/>
          <w:color w:val="1A1A1A"/>
          <w:sz w:val="20"/>
          <w:szCs w:val="20"/>
        </w:rPr>
        <w:t xml:space="preserve">Derivation </w:t>
      </w:r>
      <w:r w:rsidR="00056FEF" w:rsidRPr="009F3982">
        <w:rPr>
          <w:rFonts w:ascii="Arial" w:hAnsi="Arial" w:cs="Arial"/>
          <w:bCs/>
          <w:color w:val="1A1A1A"/>
          <w:sz w:val="20"/>
          <w:szCs w:val="20"/>
        </w:rPr>
        <w:t xml:space="preserve">and validation of a risk score for predicting tuberculosis </w:t>
      </w:r>
      <w:r w:rsidR="0077435D" w:rsidRPr="009F3982">
        <w:rPr>
          <w:rFonts w:ascii="Arial" w:hAnsi="Arial" w:cs="Arial"/>
          <w:bCs/>
          <w:color w:val="1A1A1A"/>
          <w:sz w:val="20"/>
          <w:szCs w:val="20"/>
        </w:rPr>
        <w:t xml:space="preserve">disease </w:t>
      </w:r>
      <w:r w:rsidR="00056FEF" w:rsidRPr="009F3982">
        <w:rPr>
          <w:rFonts w:ascii="Arial" w:hAnsi="Arial" w:cs="Arial"/>
          <w:bCs/>
          <w:color w:val="1A1A1A"/>
          <w:sz w:val="20"/>
          <w:szCs w:val="20"/>
        </w:rPr>
        <w:t xml:space="preserve">in adult </w:t>
      </w:r>
      <w:r w:rsidR="009F3982" w:rsidRPr="009F3982">
        <w:rPr>
          <w:rFonts w:ascii="Arial" w:hAnsi="Arial" w:cs="Arial"/>
          <w:bCs/>
          <w:color w:val="1A1A1A"/>
          <w:sz w:val="20"/>
          <w:szCs w:val="20"/>
        </w:rPr>
        <w:t>household contacts.</w:t>
      </w:r>
    </w:p>
    <w:p w14:paraId="75F3FB67" w14:textId="77777777" w:rsidR="0074137D" w:rsidRPr="009F3982" w:rsidRDefault="0074137D" w:rsidP="00B55321">
      <w:pPr>
        <w:spacing w:line="360" w:lineRule="auto"/>
        <w:rPr>
          <w:rFonts w:ascii="Arial" w:hAnsi="Arial" w:cs="Arial"/>
          <w:sz w:val="20"/>
          <w:szCs w:val="20"/>
          <w:u w:val="single"/>
        </w:rPr>
      </w:pPr>
    </w:p>
    <w:p w14:paraId="677DA4C4" w14:textId="636D64C2" w:rsidR="00263973" w:rsidRPr="009F3982" w:rsidRDefault="00263973" w:rsidP="00263973">
      <w:pPr>
        <w:spacing w:line="360" w:lineRule="auto"/>
        <w:rPr>
          <w:rFonts w:ascii="Arial" w:hAnsi="Arial" w:cs="Arial"/>
          <w:sz w:val="20"/>
          <w:szCs w:val="20"/>
        </w:rPr>
      </w:pPr>
      <w:r w:rsidRPr="009F3982">
        <w:rPr>
          <w:rFonts w:ascii="Arial" w:hAnsi="Arial" w:cs="Arial"/>
          <w:b/>
          <w:sz w:val="20"/>
          <w:szCs w:val="20"/>
        </w:rPr>
        <w:t>AUTHORS:</w:t>
      </w:r>
      <w:r w:rsidRPr="009F3982">
        <w:rPr>
          <w:rFonts w:ascii="Arial" w:hAnsi="Arial" w:cs="Arial"/>
          <w:sz w:val="20"/>
          <w:szCs w:val="20"/>
        </w:rPr>
        <w:t xml:space="preserve"> Matthew J. Saunders</w:t>
      </w:r>
      <w:r w:rsidRPr="009F3982">
        <w:rPr>
          <w:rFonts w:ascii="Arial" w:hAnsi="Arial" w:cs="Arial"/>
          <w:sz w:val="20"/>
          <w:szCs w:val="20"/>
          <w:vertAlign w:val="superscript"/>
        </w:rPr>
        <w:t>1</w:t>
      </w:r>
      <w:proofErr w:type="gramStart"/>
      <w:r w:rsidRPr="009F3982">
        <w:rPr>
          <w:rFonts w:ascii="Arial" w:hAnsi="Arial" w:cs="Arial"/>
          <w:sz w:val="20"/>
          <w:szCs w:val="20"/>
          <w:vertAlign w:val="superscript"/>
        </w:rPr>
        <w:t>,2,3</w:t>
      </w:r>
      <w:proofErr w:type="gramEnd"/>
      <w:r w:rsidRPr="009F3982">
        <w:rPr>
          <w:rFonts w:ascii="Arial" w:hAnsi="Arial" w:cs="Arial"/>
          <w:sz w:val="20"/>
          <w:szCs w:val="20"/>
        </w:rPr>
        <w:t>, Marco A. Tovar</w:t>
      </w:r>
      <w:r w:rsidRPr="009F3982">
        <w:rPr>
          <w:rFonts w:ascii="Arial" w:hAnsi="Arial" w:cs="Arial"/>
          <w:sz w:val="20"/>
          <w:szCs w:val="20"/>
          <w:vertAlign w:val="superscript"/>
        </w:rPr>
        <w:t>1,2</w:t>
      </w:r>
      <w:r w:rsidRPr="009F3982">
        <w:rPr>
          <w:rFonts w:ascii="Arial" w:hAnsi="Arial" w:cs="Arial"/>
          <w:sz w:val="20"/>
          <w:szCs w:val="20"/>
        </w:rPr>
        <w:t xml:space="preserve">, </w:t>
      </w:r>
      <w:proofErr w:type="spellStart"/>
      <w:r w:rsidRPr="009F3982">
        <w:rPr>
          <w:rFonts w:ascii="Arial" w:hAnsi="Arial" w:cs="Arial"/>
          <w:sz w:val="20"/>
          <w:szCs w:val="20"/>
        </w:rPr>
        <w:t>Karine</w:t>
      </w:r>
      <w:proofErr w:type="spellEnd"/>
      <w:r w:rsidRPr="009F3982">
        <w:rPr>
          <w:rFonts w:ascii="Arial" w:hAnsi="Arial" w:cs="Arial"/>
          <w:sz w:val="20"/>
          <w:szCs w:val="20"/>
        </w:rPr>
        <w:t xml:space="preserve"> Zevallos</w:t>
      </w:r>
      <w:r w:rsidRPr="009F3982">
        <w:rPr>
          <w:rFonts w:ascii="Arial" w:hAnsi="Arial" w:cs="Arial"/>
          <w:sz w:val="20"/>
          <w:szCs w:val="20"/>
          <w:vertAlign w:val="superscript"/>
        </w:rPr>
        <w:t>1</w:t>
      </w:r>
      <w:r w:rsidRPr="009F3982">
        <w:rPr>
          <w:rFonts w:ascii="Arial" w:hAnsi="Arial" w:cs="Arial"/>
          <w:sz w:val="20"/>
          <w:szCs w:val="20"/>
        </w:rPr>
        <w:t>, Tom Wingfield</w:t>
      </w:r>
      <w:r w:rsidRPr="009F3982">
        <w:rPr>
          <w:rFonts w:ascii="Arial" w:hAnsi="Arial" w:cs="Arial"/>
          <w:sz w:val="20"/>
          <w:szCs w:val="20"/>
          <w:vertAlign w:val="superscript"/>
        </w:rPr>
        <w:t>1,2,3,4</w:t>
      </w:r>
      <w:r w:rsidRPr="009F3982">
        <w:rPr>
          <w:rFonts w:ascii="Arial" w:hAnsi="Arial" w:cs="Arial"/>
          <w:sz w:val="20"/>
          <w:szCs w:val="20"/>
        </w:rPr>
        <w:t xml:space="preserve">, </w:t>
      </w:r>
      <w:proofErr w:type="spellStart"/>
      <w:r w:rsidRPr="009F3982">
        <w:rPr>
          <w:rFonts w:ascii="Arial" w:hAnsi="Arial" w:cs="Arial"/>
          <w:sz w:val="20"/>
          <w:szCs w:val="20"/>
        </w:rPr>
        <w:t>Sumona</w:t>
      </w:r>
      <w:proofErr w:type="spellEnd"/>
      <w:r w:rsidRPr="009F3982">
        <w:rPr>
          <w:rFonts w:ascii="Arial" w:hAnsi="Arial" w:cs="Arial"/>
          <w:sz w:val="20"/>
          <w:szCs w:val="20"/>
        </w:rPr>
        <w:t xml:space="preserve"> Datta</w:t>
      </w:r>
      <w:r w:rsidRPr="009F3982">
        <w:rPr>
          <w:rFonts w:ascii="Arial" w:hAnsi="Arial" w:cs="Arial"/>
          <w:sz w:val="20"/>
          <w:szCs w:val="20"/>
          <w:vertAlign w:val="superscript"/>
        </w:rPr>
        <w:t>1,2,3,5</w:t>
      </w:r>
      <w:r w:rsidRPr="009F3982">
        <w:rPr>
          <w:rFonts w:ascii="Arial" w:hAnsi="Arial" w:cs="Arial"/>
          <w:sz w:val="20"/>
          <w:szCs w:val="20"/>
        </w:rPr>
        <w:t xml:space="preserve"> Rosario Montoya</w:t>
      </w:r>
      <w:r w:rsidRPr="009F3982">
        <w:rPr>
          <w:rFonts w:ascii="Arial" w:hAnsi="Arial" w:cs="Arial"/>
          <w:sz w:val="20"/>
          <w:szCs w:val="20"/>
          <w:vertAlign w:val="superscript"/>
        </w:rPr>
        <w:t>1</w:t>
      </w:r>
      <w:r w:rsidRPr="009F3982">
        <w:rPr>
          <w:rFonts w:ascii="Arial" w:hAnsi="Arial" w:cs="Arial"/>
          <w:sz w:val="20"/>
          <w:szCs w:val="20"/>
        </w:rPr>
        <w:t>, Teresa R. Valencia</w:t>
      </w:r>
      <w:r w:rsidRPr="009F3982">
        <w:rPr>
          <w:rFonts w:ascii="Arial" w:hAnsi="Arial" w:cs="Arial"/>
          <w:sz w:val="20"/>
          <w:szCs w:val="20"/>
          <w:vertAlign w:val="superscript"/>
        </w:rPr>
        <w:t>2</w:t>
      </w:r>
      <w:r w:rsidRPr="009F3982">
        <w:rPr>
          <w:rFonts w:ascii="Arial" w:hAnsi="Arial" w:cs="Arial"/>
          <w:sz w:val="20"/>
          <w:szCs w:val="20"/>
        </w:rPr>
        <w:t>, Carlos Santillan</w:t>
      </w:r>
      <w:r w:rsidRPr="009F3982">
        <w:rPr>
          <w:rFonts w:ascii="Arial" w:hAnsi="Arial" w:cs="Arial"/>
          <w:sz w:val="20"/>
          <w:szCs w:val="20"/>
          <w:vertAlign w:val="superscript"/>
        </w:rPr>
        <w:t>1,2</w:t>
      </w:r>
      <w:r w:rsidRPr="009F3982">
        <w:rPr>
          <w:rFonts w:ascii="Arial" w:hAnsi="Arial" w:cs="Arial"/>
          <w:sz w:val="20"/>
          <w:szCs w:val="20"/>
        </w:rPr>
        <w:t>, Alejandro Necochea</w:t>
      </w:r>
      <w:r w:rsidRPr="009F3982">
        <w:rPr>
          <w:rFonts w:ascii="Arial" w:hAnsi="Arial" w:cs="Arial"/>
          <w:sz w:val="20"/>
          <w:szCs w:val="20"/>
          <w:vertAlign w:val="superscript"/>
        </w:rPr>
        <w:t>1</w:t>
      </w:r>
      <w:r w:rsidRPr="009F3982">
        <w:rPr>
          <w:rFonts w:ascii="Arial" w:hAnsi="Arial" w:cs="Arial"/>
          <w:sz w:val="20"/>
          <w:szCs w:val="20"/>
        </w:rPr>
        <w:t>, Matthew R Baldwin</w:t>
      </w:r>
      <w:r w:rsidRPr="009F3982">
        <w:rPr>
          <w:rFonts w:ascii="Arial" w:hAnsi="Arial" w:cs="Arial"/>
          <w:sz w:val="20"/>
          <w:szCs w:val="20"/>
          <w:vertAlign w:val="superscript"/>
        </w:rPr>
        <w:t>1</w:t>
      </w:r>
      <w:r w:rsidRPr="009F3982">
        <w:rPr>
          <w:rFonts w:ascii="Arial" w:hAnsi="Arial" w:cs="Arial"/>
          <w:sz w:val="20"/>
          <w:szCs w:val="20"/>
        </w:rPr>
        <w:t>, Robert E. Black, Robert H. Gilman</w:t>
      </w:r>
      <w:r w:rsidRPr="009F3982">
        <w:rPr>
          <w:rFonts w:ascii="Arial" w:hAnsi="Arial" w:cs="Arial"/>
          <w:sz w:val="20"/>
          <w:szCs w:val="20"/>
          <w:vertAlign w:val="superscript"/>
        </w:rPr>
        <w:t>5</w:t>
      </w:r>
      <w:r w:rsidRPr="009F3982">
        <w:rPr>
          <w:rFonts w:ascii="Arial" w:hAnsi="Arial" w:cs="Arial"/>
          <w:sz w:val="20"/>
          <w:szCs w:val="20"/>
        </w:rPr>
        <w:t>, Jon S. Friedland</w:t>
      </w:r>
      <w:r w:rsidRPr="009F3982">
        <w:rPr>
          <w:rFonts w:ascii="Arial" w:hAnsi="Arial" w:cs="Arial"/>
          <w:sz w:val="20"/>
          <w:szCs w:val="20"/>
          <w:vertAlign w:val="superscript"/>
        </w:rPr>
        <w:t>3</w:t>
      </w:r>
      <w:r w:rsidRPr="009F3982">
        <w:rPr>
          <w:rFonts w:ascii="Arial" w:hAnsi="Arial" w:cs="Arial"/>
          <w:sz w:val="20"/>
          <w:szCs w:val="20"/>
        </w:rPr>
        <w:t>, Carlton A. Evans</w:t>
      </w:r>
      <w:r w:rsidRPr="009F3982">
        <w:rPr>
          <w:rFonts w:ascii="Arial" w:hAnsi="Arial" w:cs="Arial"/>
          <w:sz w:val="20"/>
          <w:szCs w:val="20"/>
          <w:vertAlign w:val="superscript"/>
        </w:rPr>
        <w:t>1,2,3</w:t>
      </w:r>
    </w:p>
    <w:p w14:paraId="2D9019FF" w14:textId="77777777" w:rsidR="00B55321" w:rsidRPr="009F3982" w:rsidRDefault="00B55321" w:rsidP="00B55321">
      <w:pPr>
        <w:spacing w:line="360" w:lineRule="auto"/>
        <w:rPr>
          <w:rFonts w:ascii="Arial" w:hAnsi="Arial" w:cs="Arial"/>
          <w:sz w:val="20"/>
          <w:szCs w:val="20"/>
        </w:rPr>
      </w:pPr>
    </w:p>
    <w:p w14:paraId="76BF5418" w14:textId="250A12F5" w:rsidR="00263973" w:rsidRPr="009F3982" w:rsidRDefault="00263973" w:rsidP="00B55321">
      <w:pPr>
        <w:spacing w:line="360" w:lineRule="auto"/>
        <w:rPr>
          <w:rFonts w:ascii="Arial" w:hAnsi="Arial" w:cs="Arial"/>
          <w:b/>
          <w:sz w:val="20"/>
          <w:szCs w:val="20"/>
        </w:rPr>
      </w:pPr>
      <w:r w:rsidRPr="009F3982">
        <w:rPr>
          <w:rFonts w:ascii="Arial" w:hAnsi="Arial" w:cs="Arial"/>
          <w:b/>
          <w:sz w:val="20"/>
          <w:szCs w:val="20"/>
        </w:rPr>
        <w:t>AUTHOR AFFILIATIONS:</w:t>
      </w:r>
    </w:p>
    <w:p w14:paraId="0C4206D5" w14:textId="77777777" w:rsidR="00B55321" w:rsidRPr="009F3982" w:rsidRDefault="00B55321" w:rsidP="00B55321">
      <w:pPr>
        <w:pStyle w:val="ListParagraph"/>
        <w:numPr>
          <w:ilvl w:val="0"/>
          <w:numId w:val="1"/>
        </w:numPr>
        <w:autoSpaceDE w:val="0"/>
        <w:autoSpaceDN w:val="0"/>
        <w:adjustRightInd w:val="0"/>
        <w:spacing w:after="0" w:line="360" w:lineRule="auto"/>
        <w:ind w:left="426" w:right="95"/>
        <w:rPr>
          <w:rFonts w:ascii="Arial" w:hAnsi="Arial" w:cs="Arial"/>
          <w:sz w:val="20"/>
          <w:szCs w:val="20"/>
          <w:lang w:val="en-GB"/>
        </w:rPr>
      </w:pPr>
      <w:proofErr w:type="spellStart"/>
      <w:r w:rsidRPr="009F3982">
        <w:rPr>
          <w:rFonts w:ascii="Arial" w:hAnsi="Arial" w:cs="Arial"/>
          <w:sz w:val="20"/>
          <w:szCs w:val="20"/>
          <w:lang w:val="en-GB"/>
        </w:rPr>
        <w:t>Innovación</w:t>
      </w:r>
      <w:proofErr w:type="spellEnd"/>
      <w:r w:rsidRPr="009F3982">
        <w:rPr>
          <w:rFonts w:ascii="Arial" w:hAnsi="Arial" w:cs="Arial"/>
          <w:sz w:val="20"/>
          <w:szCs w:val="20"/>
          <w:lang w:val="en-GB"/>
        </w:rPr>
        <w:t xml:space="preserve"> </w:t>
      </w:r>
      <w:proofErr w:type="spellStart"/>
      <w:r w:rsidRPr="009F3982">
        <w:rPr>
          <w:rFonts w:ascii="Arial" w:hAnsi="Arial" w:cs="Arial"/>
          <w:sz w:val="20"/>
          <w:szCs w:val="20"/>
          <w:lang w:val="en-GB"/>
        </w:rPr>
        <w:t>Por</w:t>
      </w:r>
      <w:proofErr w:type="spellEnd"/>
      <w:r w:rsidRPr="009F3982">
        <w:rPr>
          <w:rFonts w:ascii="Arial" w:hAnsi="Arial" w:cs="Arial"/>
          <w:sz w:val="20"/>
          <w:szCs w:val="20"/>
          <w:lang w:val="en-GB"/>
        </w:rPr>
        <w:t xml:space="preserve"> la </w:t>
      </w:r>
      <w:proofErr w:type="spellStart"/>
      <w:r w:rsidRPr="009F3982">
        <w:rPr>
          <w:rFonts w:ascii="Arial" w:hAnsi="Arial" w:cs="Arial"/>
          <w:sz w:val="20"/>
          <w:szCs w:val="20"/>
          <w:lang w:val="en-GB"/>
        </w:rPr>
        <w:t>Salud</w:t>
      </w:r>
      <w:proofErr w:type="spellEnd"/>
      <w:r w:rsidRPr="009F3982">
        <w:rPr>
          <w:rFonts w:ascii="Arial" w:hAnsi="Arial" w:cs="Arial"/>
          <w:sz w:val="20"/>
          <w:szCs w:val="20"/>
          <w:lang w:val="en-GB"/>
        </w:rPr>
        <w:t xml:space="preserve"> Y </w:t>
      </w:r>
      <w:proofErr w:type="spellStart"/>
      <w:r w:rsidRPr="009F3982">
        <w:rPr>
          <w:rFonts w:ascii="Arial" w:hAnsi="Arial" w:cs="Arial"/>
          <w:sz w:val="20"/>
          <w:szCs w:val="20"/>
          <w:lang w:val="en-GB"/>
        </w:rPr>
        <w:t>Desarrollo</w:t>
      </w:r>
      <w:proofErr w:type="spellEnd"/>
      <w:r w:rsidRPr="009F3982">
        <w:rPr>
          <w:rFonts w:ascii="Arial" w:hAnsi="Arial" w:cs="Arial"/>
          <w:sz w:val="20"/>
          <w:szCs w:val="20"/>
          <w:lang w:val="en-GB"/>
        </w:rPr>
        <w:t xml:space="preserve"> (IPSYD), </w:t>
      </w:r>
      <w:proofErr w:type="spellStart"/>
      <w:r w:rsidRPr="009F3982">
        <w:rPr>
          <w:rFonts w:ascii="Arial" w:hAnsi="Arial" w:cs="Arial"/>
          <w:sz w:val="20"/>
          <w:szCs w:val="20"/>
          <w:lang w:val="en-GB"/>
        </w:rPr>
        <w:t>Asociación</w:t>
      </w:r>
      <w:proofErr w:type="spellEnd"/>
      <w:r w:rsidRPr="009F3982">
        <w:rPr>
          <w:rFonts w:ascii="Arial" w:hAnsi="Arial" w:cs="Arial"/>
          <w:sz w:val="20"/>
          <w:szCs w:val="20"/>
          <w:lang w:val="en-GB"/>
        </w:rPr>
        <w:t xml:space="preserve"> </w:t>
      </w:r>
      <w:proofErr w:type="spellStart"/>
      <w:r w:rsidRPr="009F3982">
        <w:rPr>
          <w:rFonts w:ascii="Arial" w:hAnsi="Arial" w:cs="Arial"/>
          <w:sz w:val="20"/>
          <w:szCs w:val="20"/>
          <w:lang w:val="en-GB"/>
        </w:rPr>
        <w:t>Benéfica</w:t>
      </w:r>
      <w:proofErr w:type="spellEnd"/>
      <w:r w:rsidRPr="009F3982">
        <w:rPr>
          <w:rFonts w:ascii="Arial" w:hAnsi="Arial" w:cs="Arial"/>
          <w:sz w:val="20"/>
          <w:szCs w:val="20"/>
          <w:lang w:val="en-GB"/>
        </w:rPr>
        <w:t xml:space="preserve"> PRISMA, Lima, </w:t>
      </w:r>
      <w:proofErr w:type="spellStart"/>
      <w:r w:rsidRPr="009F3982">
        <w:rPr>
          <w:rFonts w:ascii="Arial" w:hAnsi="Arial" w:cs="Arial"/>
          <w:sz w:val="20"/>
          <w:szCs w:val="20"/>
          <w:lang w:val="en-GB"/>
        </w:rPr>
        <w:t>Perú</w:t>
      </w:r>
      <w:proofErr w:type="spellEnd"/>
    </w:p>
    <w:p w14:paraId="5C0CDFE3" w14:textId="77777777" w:rsidR="00B55321" w:rsidRPr="009F3982" w:rsidRDefault="00B55321" w:rsidP="00B55321">
      <w:pPr>
        <w:pStyle w:val="ListParagraph"/>
        <w:numPr>
          <w:ilvl w:val="0"/>
          <w:numId w:val="1"/>
        </w:numPr>
        <w:autoSpaceDE w:val="0"/>
        <w:autoSpaceDN w:val="0"/>
        <w:adjustRightInd w:val="0"/>
        <w:spacing w:after="0" w:line="360" w:lineRule="auto"/>
        <w:ind w:left="426" w:right="95"/>
        <w:rPr>
          <w:rFonts w:ascii="Arial" w:hAnsi="Arial" w:cs="Arial"/>
          <w:sz w:val="20"/>
          <w:szCs w:val="20"/>
          <w:lang w:val="en-GB"/>
        </w:rPr>
      </w:pPr>
      <w:r w:rsidRPr="009F3982">
        <w:rPr>
          <w:rFonts w:ascii="Arial" w:hAnsi="Arial" w:cs="Arial"/>
          <w:sz w:val="20"/>
          <w:szCs w:val="20"/>
          <w:lang w:val="en-GB"/>
        </w:rPr>
        <w:t xml:space="preserve">Innovation For Health And Development (IFHAD), Laboratory of Research and Development, Universidad </w:t>
      </w:r>
      <w:proofErr w:type="spellStart"/>
      <w:r w:rsidRPr="009F3982">
        <w:rPr>
          <w:rFonts w:ascii="Arial" w:hAnsi="Arial" w:cs="Arial"/>
          <w:sz w:val="20"/>
          <w:szCs w:val="20"/>
          <w:lang w:val="en-GB"/>
        </w:rPr>
        <w:t>Peruana</w:t>
      </w:r>
      <w:proofErr w:type="spellEnd"/>
      <w:r w:rsidRPr="009F3982">
        <w:rPr>
          <w:rFonts w:ascii="Arial" w:hAnsi="Arial" w:cs="Arial"/>
          <w:sz w:val="20"/>
          <w:szCs w:val="20"/>
          <w:lang w:val="en-GB"/>
        </w:rPr>
        <w:t xml:space="preserve"> </w:t>
      </w:r>
      <w:proofErr w:type="spellStart"/>
      <w:r w:rsidRPr="009F3982">
        <w:rPr>
          <w:rFonts w:ascii="Arial" w:hAnsi="Arial" w:cs="Arial"/>
          <w:sz w:val="20"/>
          <w:szCs w:val="20"/>
          <w:lang w:val="en-GB"/>
        </w:rPr>
        <w:t>Cayetano</w:t>
      </w:r>
      <w:proofErr w:type="spellEnd"/>
      <w:r w:rsidRPr="009F3982">
        <w:rPr>
          <w:rFonts w:ascii="Arial" w:hAnsi="Arial" w:cs="Arial"/>
          <w:sz w:val="20"/>
          <w:szCs w:val="20"/>
          <w:lang w:val="en-GB"/>
        </w:rPr>
        <w:t xml:space="preserve"> Heredia, Lima, </w:t>
      </w:r>
      <w:proofErr w:type="spellStart"/>
      <w:r w:rsidRPr="009F3982">
        <w:rPr>
          <w:rFonts w:ascii="Arial" w:hAnsi="Arial" w:cs="Arial"/>
          <w:sz w:val="20"/>
          <w:szCs w:val="20"/>
          <w:lang w:val="en-GB"/>
        </w:rPr>
        <w:t>Perú</w:t>
      </w:r>
      <w:proofErr w:type="spellEnd"/>
      <w:r w:rsidRPr="009F3982">
        <w:rPr>
          <w:rFonts w:ascii="Arial" w:hAnsi="Arial" w:cs="Arial"/>
          <w:sz w:val="20"/>
          <w:szCs w:val="20"/>
          <w:lang w:val="en-GB"/>
        </w:rPr>
        <w:t xml:space="preserve"> </w:t>
      </w:r>
    </w:p>
    <w:p w14:paraId="74F5DE61" w14:textId="77777777" w:rsidR="00B55321" w:rsidRPr="009F3982" w:rsidRDefault="00B55321" w:rsidP="00B55321">
      <w:pPr>
        <w:pStyle w:val="ListParagraph"/>
        <w:numPr>
          <w:ilvl w:val="0"/>
          <w:numId w:val="1"/>
        </w:numPr>
        <w:autoSpaceDE w:val="0"/>
        <w:autoSpaceDN w:val="0"/>
        <w:adjustRightInd w:val="0"/>
        <w:spacing w:after="0" w:line="360" w:lineRule="auto"/>
        <w:ind w:left="426" w:right="95"/>
        <w:rPr>
          <w:rFonts w:ascii="Arial" w:hAnsi="Arial" w:cs="Arial"/>
          <w:sz w:val="20"/>
          <w:szCs w:val="20"/>
          <w:lang w:val="en-GB"/>
        </w:rPr>
      </w:pPr>
      <w:r w:rsidRPr="009F3982">
        <w:rPr>
          <w:rFonts w:ascii="Arial" w:hAnsi="Arial" w:cs="Arial"/>
          <w:sz w:val="20"/>
          <w:szCs w:val="20"/>
          <w:lang w:val="en-GB"/>
        </w:rPr>
        <w:t xml:space="preserve">Innovation For Health And Development (IFHAD), Infectious Diseases &amp; Immunity, Imperial College London, and </w:t>
      </w:r>
      <w:proofErr w:type="spellStart"/>
      <w:r w:rsidRPr="009F3982">
        <w:rPr>
          <w:rFonts w:ascii="Arial" w:hAnsi="Arial" w:cs="Arial"/>
          <w:sz w:val="20"/>
          <w:szCs w:val="20"/>
          <w:lang w:val="en-GB"/>
        </w:rPr>
        <w:t>Wellcome</w:t>
      </w:r>
      <w:proofErr w:type="spellEnd"/>
      <w:r w:rsidRPr="009F3982">
        <w:rPr>
          <w:rFonts w:ascii="Arial" w:hAnsi="Arial" w:cs="Arial"/>
          <w:sz w:val="20"/>
          <w:szCs w:val="20"/>
          <w:lang w:val="en-GB"/>
        </w:rPr>
        <w:t xml:space="preserve"> Trust Imperial College Centre for Global Health Research, London, UK</w:t>
      </w:r>
    </w:p>
    <w:p w14:paraId="1761240E" w14:textId="77777777" w:rsidR="00B55321" w:rsidRPr="009F3982" w:rsidRDefault="00B55321" w:rsidP="00B55321">
      <w:pPr>
        <w:pStyle w:val="ListParagraph"/>
        <w:numPr>
          <w:ilvl w:val="0"/>
          <w:numId w:val="1"/>
        </w:numPr>
        <w:autoSpaceDE w:val="0"/>
        <w:autoSpaceDN w:val="0"/>
        <w:adjustRightInd w:val="0"/>
        <w:spacing w:after="0" w:line="360" w:lineRule="auto"/>
        <w:ind w:left="426" w:right="95"/>
        <w:rPr>
          <w:rFonts w:ascii="Arial" w:hAnsi="Arial" w:cs="Arial"/>
          <w:sz w:val="20"/>
          <w:szCs w:val="20"/>
          <w:lang w:val="en-GB"/>
        </w:rPr>
      </w:pPr>
      <w:r w:rsidRPr="009F3982">
        <w:rPr>
          <w:rFonts w:ascii="Arial" w:hAnsi="Arial" w:cs="Arial"/>
          <w:sz w:val="20"/>
          <w:szCs w:val="20"/>
          <w:lang w:val="en-GB"/>
        </w:rPr>
        <w:t xml:space="preserve">The </w:t>
      </w:r>
      <w:proofErr w:type="spellStart"/>
      <w:r w:rsidRPr="009F3982">
        <w:rPr>
          <w:rFonts w:ascii="Arial" w:hAnsi="Arial" w:cs="Arial"/>
          <w:sz w:val="20"/>
          <w:szCs w:val="20"/>
          <w:lang w:val="en-GB"/>
        </w:rPr>
        <w:t>Monsall</w:t>
      </w:r>
      <w:proofErr w:type="spellEnd"/>
      <w:r w:rsidRPr="009F3982">
        <w:rPr>
          <w:rFonts w:ascii="Arial" w:hAnsi="Arial" w:cs="Arial"/>
          <w:sz w:val="20"/>
          <w:szCs w:val="20"/>
          <w:lang w:val="en-GB"/>
        </w:rPr>
        <w:t xml:space="preserve"> Infectious Diseases Unit, North Manchester General Hospital, Manchester, UK</w:t>
      </w:r>
    </w:p>
    <w:p w14:paraId="04B0E776" w14:textId="77777777" w:rsidR="00B55321" w:rsidRPr="009F3982" w:rsidRDefault="00B55321" w:rsidP="00B55321">
      <w:pPr>
        <w:pStyle w:val="ListParagraph"/>
        <w:numPr>
          <w:ilvl w:val="0"/>
          <w:numId w:val="1"/>
        </w:numPr>
        <w:autoSpaceDE w:val="0"/>
        <w:autoSpaceDN w:val="0"/>
        <w:adjustRightInd w:val="0"/>
        <w:spacing w:after="0" w:line="360" w:lineRule="auto"/>
        <w:ind w:left="426" w:right="95"/>
        <w:rPr>
          <w:rFonts w:ascii="Arial" w:hAnsi="Arial" w:cs="Arial"/>
          <w:sz w:val="20"/>
          <w:szCs w:val="20"/>
          <w:lang w:val="en-GB"/>
        </w:rPr>
      </w:pPr>
      <w:r w:rsidRPr="009F3982">
        <w:rPr>
          <w:rFonts w:ascii="Arial" w:hAnsi="Arial" w:cs="Arial"/>
          <w:sz w:val="20"/>
          <w:szCs w:val="20"/>
          <w:lang w:val="en-GB"/>
        </w:rPr>
        <w:t>Johns Hopkins Bloomberg School of Public Health, Baltimore, USA</w:t>
      </w:r>
    </w:p>
    <w:p w14:paraId="41404865" w14:textId="77777777" w:rsidR="00263973" w:rsidRPr="009F3982" w:rsidRDefault="00263973" w:rsidP="00263973">
      <w:pPr>
        <w:autoSpaceDE w:val="0"/>
        <w:autoSpaceDN w:val="0"/>
        <w:adjustRightInd w:val="0"/>
        <w:spacing w:line="360" w:lineRule="auto"/>
        <w:ind w:right="95"/>
        <w:rPr>
          <w:rFonts w:ascii="Arial" w:hAnsi="Arial" w:cs="Arial"/>
          <w:sz w:val="20"/>
          <w:szCs w:val="20"/>
        </w:rPr>
      </w:pPr>
    </w:p>
    <w:p w14:paraId="11AC3A17" w14:textId="77777777" w:rsidR="00B55321" w:rsidRPr="009F3982" w:rsidRDefault="00B55321" w:rsidP="00B55321">
      <w:pPr>
        <w:autoSpaceDE w:val="0"/>
        <w:autoSpaceDN w:val="0"/>
        <w:adjustRightInd w:val="0"/>
        <w:spacing w:line="360" w:lineRule="auto"/>
        <w:ind w:right="95"/>
        <w:rPr>
          <w:rFonts w:ascii="Arial" w:hAnsi="Arial" w:cs="Arial"/>
          <w:sz w:val="20"/>
          <w:szCs w:val="20"/>
        </w:rPr>
      </w:pPr>
    </w:p>
    <w:p w14:paraId="4CD8A1C8" w14:textId="77777777" w:rsidR="00263973" w:rsidRPr="009F3982" w:rsidRDefault="00263973" w:rsidP="00263973">
      <w:pPr>
        <w:spacing w:after="120" w:line="360" w:lineRule="auto"/>
        <w:rPr>
          <w:rFonts w:ascii="Arial" w:hAnsi="Arial" w:cs="Arial"/>
          <w:sz w:val="20"/>
          <w:szCs w:val="20"/>
        </w:rPr>
      </w:pPr>
      <w:r w:rsidRPr="009F3982">
        <w:rPr>
          <w:rFonts w:ascii="Arial" w:hAnsi="Arial" w:cs="Arial"/>
          <w:b/>
          <w:sz w:val="20"/>
          <w:szCs w:val="20"/>
        </w:rPr>
        <w:t>Corresponding Author:</w:t>
      </w:r>
      <w:r w:rsidRPr="009F3982">
        <w:rPr>
          <w:rFonts w:ascii="Arial" w:hAnsi="Arial" w:cs="Arial"/>
          <w:sz w:val="20"/>
          <w:szCs w:val="20"/>
        </w:rPr>
        <w:t xml:space="preserve"> </w:t>
      </w:r>
    </w:p>
    <w:p w14:paraId="2DC36620" w14:textId="77777777" w:rsidR="00263973" w:rsidRPr="009F3982" w:rsidRDefault="00263973" w:rsidP="00263973">
      <w:pPr>
        <w:spacing w:after="120" w:line="360" w:lineRule="auto"/>
        <w:rPr>
          <w:rFonts w:ascii="Arial" w:hAnsi="Arial" w:cs="Arial"/>
          <w:color w:val="000000"/>
          <w:sz w:val="20"/>
          <w:szCs w:val="20"/>
        </w:rPr>
      </w:pPr>
      <w:r w:rsidRPr="009F3982">
        <w:rPr>
          <w:rFonts w:ascii="Arial" w:hAnsi="Arial" w:cs="Arial"/>
          <w:sz w:val="20"/>
          <w:szCs w:val="20"/>
        </w:rPr>
        <w:t xml:space="preserve">Dr Matthew Saunders, IFHAD Clinical Research Fellow, </w:t>
      </w:r>
      <w:r w:rsidRPr="009F3982">
        <w:rPr>
          <w:rFonts w:ascii="Arial" w:hAnsi="Arial" w:cs="Arial"/>
          <w:color w:val="000000"/>
          <w:sz w:val="20"/>
          <w:szCs w:val="20"/>
        </w:rPr>
        <w:t xml:space="preserve">Laboratory for Research and Development #218, Universidad </w:t>
      </w:r>
      <w:proofErr w:type="spellStart"/>
      <w:r w:rsidRPr="009F3982">
        <w:rPr>
          <w:rFonts w:ascii="Arial" w:hAnsi="Arial" w:cs="Arial"/>
          <w:color w:val="000000"/>
          <w:sz w:val="20"/>
          <w:szCs w:val="20"/>
        </w:rPr>
        <w:t>Peruana</w:t>
      </w:r>
      <w:proofErr w:type="spellEnd"/>
      <w:r w:rsidRPr="009F3982">
        <w:rPr>
          <w:rFonts w:ascii="Arial" w:hAnsi="Arial" w:cs="Arial"/>
          <w:color w:val="000000"/>
          <w:sz w:val="20"/>
          <w:szCs w:val="20"/>
        </w:rPr>
        <w:t xml:space="preserve"> </w:t>
      </w:r>
      <w:proofErr w:type="spellStart"/>
      <w:r w:rsidRPr="009F3982">
        <w:rPr>
          <w:rFonts w:ascii="Arial" w:hAnsi="Arial" w:cs="Arial"/>
          <w:color w:val="000000"/>
          <w:sz w:val="20"/>
          <w:szCs w:val="20"/>
        </w:rPr>
        <w:t>Cayetano</w:t>
      </w:r>
      <w:proofErr w:type="spellEnd"/>
      <w:r w:rsidRPr="009F3982">
        <w:rPr>
          <w:rFonts w:ascii="Arial" w:hAnsi="Arial" w:cs="Arial"/>
          <w:color w:val="000000"/>
          <w:sz w:val="20"/>
          <w:szCs w:val="20"/>
        </w:rPr>
        <w:t xml:space="preserve"> Heredia, Av. </w:t>
      </w:r>
      <w:proofErr w:type="spellStart"/>
      <w:r w:rsidRPr="009F3982">
        <w:rPr>
          <w:rFonts w:ascii="Arial" w:hAnsi="Arial" w:cs="Arial"/>
          <w:color w:val="000000"/>
          <w:sz w:val="20"/>
          <w:szCs w:val="20"/>
          <w:shd w:val="clear" w:color="auto" w:fill="FFFFFF"/>
        </w:rPr>
        <w:t>Honorio</w:t>
      </w:r>
      <w:proofErr w:type="spellEnd"/>
      <w:r w:rsidRPr="009F3982">
        <w:rPr>
          <w:rFonts w:ascii="Arial" w:hAnsi="Arial" w:cs="Arial"/>
          <w:color w:val="000000"/>
          <w:sz w:val="20"/>
          <w:szCs w:val="20"/>
          <w:shd w:val="clear" w:color="auto" w:fill="FFFFFF"/>
        </w:rPr>
        <w:t xml:space="preserve"> Delgado 430, San Martín de </w:t>
      </w:r>
      <w:proofErr w:type="spellStart"/>
      <w:r w:rsidRPr="009F3982">
        <w:rPr>
          <w:rFonts w:ascii="Arial" w:hAnsi="Arial" w:cs="Arial"/>
          <w:color w:val="000000"/>
          <w:sz w:val="20"/>
          <w:szCs w:val="20"/>
          <w:shd w:val="clear" w:color="auto" w:fill="FFFFFF"/>
        </w:rPr>
        <w:t>Porres</w:t>
      </w:r>
      <w:proofErr w:type="spellEnd"/>
      <w:r w:rsidRPr="009F3982">
        <w:rPr>
          <w:rFonts w:ascii="Arial" w:hAnsi="Arial" w:cs="Arial"/>
          <w:color w:val="000000"/>
          <w:sz w:val="20"/>
          <w:szCs w:val="20"/>
          <w:shd w:val="clear" w:color="auto" w:fill="FFFFFF"/>
        </w:rPr>
        <w:t xml:space="preserve"> 15102, Lima, </w:t>
      </w:r>
      <w:proofErr w:type="spellStart"/>
      <w:r w:rsidRPr="009F3982">
        <w:rPr>
          <w:rFonts w:ascii="Arial" w:hAnsi="Arial" w:cs="Arial"/>
          <w:color w:val="000000"/>
          <w:sz w:val="20"/>
          <w:szCs w:val="20"/>
        </w:rPr>
        <w:t>Per</w:t>
      </w:r>
      <w:r w:rsidRPr="009F3982">
        <w:rPr>
          <w:rFonts w:ascii="Arial" w:hAnsi="Arial" w:cs="Arial"/>
          <w:color w:val="000000"/>
          <w:sz w:val="20"/>
          <w:szCs w:val="20"/>
          <w:shd w:val="clear" w:color="auto" w:fill="FFFFFF"/>
        </w:rPr>
        <w:t>ú</w:t>
      </w:r>
      <w:proofErr w:type="spellEnd"/>
      <w:r w:rsidRPr="009F3982">
        <w:rPr>
          <w:rFonts w:ascii="Arial" w:hAnsi="Arial" w:cs="Arial"/>
          <w:color w:val="000000"/>
          <w:sz w:val="20"/>
          <w:szCs w:val="20"/>
        </w:rPr>
        <w:t xml:space="preserve">. Email: </w:t>
      </w:r>
      <w:hyperlink r:id="rId6" w:history="1">
        <w:r w:rsidRPr="009F3982">
          <w:rPr>
            <w:rStyle w:val="Hyperlink"/>
            <w:rFonts w:ascii="Arial" w:hAnsi="Arial" w:cs="Arial"/>
            <w:sz w:val="20"/>
            <w:szCs w:val="20"/>
          </w:rPr>
          <w:t>matthew.saunders@ifhad.org</w:t>
        </w:r>
      </w:hyperlink>
      <w:proofErr w:type="gramStart"/>
      <w:r w:rsidRPr="009F3982">
        <w:rPr>
          <w:rFonts w:ascii="Arial" w:hAnsi="Arial" w:cs="Arial"/>
          <w:color w:val="000000"/>
          <w:sz w:val="20"/>
          <w:szCs w:val="20"/>
        </w:rPr>
        <w:t>;</w:t>
      </w:r>
      <w:proofErr w:type="gramEnd"/>
      <w:r w:rsidRPr="009F3982">
        <w:rPr>
          <w:rFonts w:ascii="Arial" w:hAnsi="Arial" w:cs="Arial"/>
          <w:color w:val="000000"/>
          <w:sz w:val="20"/>
          <w:szCs w:val="20"/>
        </w:rPr>
        <w:t xml:space="preserve"> Tel: +447817455461</w:t>
      </w:r>
    </w:p>
    <w:p w14:paraId="3C31A5C1" w14:textId="77777777" w:rsidR="00263973" w:rsidRPr="009F3982" w:rsidRDefault="00263973" w:rsidP="00263973">
      <w:pPr>
        <w:spacing w:after="120" w:line="360" w:lineRule="auto"/>
        <w:jc w:val="center"/>
        <w:rPr>
          <w:rFonts w:ascii="Arial" w:hAnsi="Arial" w:cs="Arial"/>
          <w:b/>
          <w:color w:val="000000"/>
          <w:sz w:val="20"/>
          <w:szCs w:val="20"/>
        </w:rPr>
      </w:pPr>
    </w:p>
    <w:p w14:paraId="57B0A591" w14:textId="6455D6EF" w:rsidR="00263973" w:rsidRPr="009F3982" w:rsidRDefault="00263973" w:rsidP="00263973">
      <w:pPr>
        <w:spacing w:after="120" w:line="360" w:lineRule="auto"/>
        <w:rPr>
          <w:rFonts w:ascii="Arial" w:hAnsi="Arial" w:cs="Arial"/>
          <w:color w:val="000000"/>
          <w:sz w:val="20"/>
          <w:szCs w:val="20"/>
        </w:rPr>
      </w:pPr>
      <w:r w:rsidRPr="009F3982">
        <w:rPr>
          <w:rFonts w:ascii="Arial" w:hAnsi="Arial" w:cs="Arial"/>
          <w:b/>
          <w:color w:val="000000"/>
          <w:sz w:val="20"/>
          <w:szCs w:val="20"/>
        </w:rPr>
        <w:t xml:space="preserve">Short running title: </w:t>
      </w:r>
    </w:p>
    <w:p w14:paraId="2ECC9E51" w14:textId="77777777" w:rsidR="00263973" w:rsidRPr="009F3982" w:rsidRDefault="00263973" w:rsidP="00263973">
      <w:pPr>
        <w:spacing w:after="120" w:line="360" w:lineRule="auto"/>
        <w:rPr>
          <w:rFonts w:ascii="Arial" w:hAnsi="Arial" w:cs="Arial"/>
          <w:color w:val="000000"/>
          <w:sz w:val="20"/>
          <w:szCs w:val="20"/>
        </w:rPr>
      </w:pPr>
      <w:r w:rsidRPr="009F3982">
        <w:rPr>
          <w:rFonts w:ascii="Arial" w:hAnsi="Arial" w:cs="Arial"/>
          <w:b/>
          <w:color w:val="000000"/>
          <w:sz w:val="20"/>
          <w:szCs w:val="20"/>
        </w:rPr>
        <w:t xml:space="preserve">Keywords: </w:t>
      </w:r>
    </w:p>
    <w:p w14:paraId="7AE25FD1" w14:textId="77777777" w:rsidR="00263973" w:rsidRPr="009F3982" w:rsidRDefault="00263973" w:rsidP="00263973">
      <w:pPr>
        <w:spacing w:after="120" w:line="360" w:lineRule="auto"/>
        <w:rPr>
          <w:rFonts w:ascii="Arial" w:hAnsi="Arial" w:cs="Arial"/>
          <w:color w:val="000000"/>
          <w:sz w:val="20"/>
          <w:szCs w:val="20"/>
        </w:rPr>
      </w:pPr>
      <w:r w:rsidRPr="009F3982">
        <w:rPr>
          <w:rFonts w:ascii="Arial" w:hAnsi="Arial" w:cs="Arial"/>
          <w:b/>
          <w:color w:val="000000"/>
          <w:sz w:val="20"/>
          <w:szCs w:val="20"/>
        </w:rPr>
        <w:t>Word count:</w:t>
      </w:r>
      <w:r w:rsidRPr="009F3982">
        <w:rPr>
          <w:rFonts w:ascii="Arial" w:hAnsi="Arial" w:cs="Arial"/>
          <w:color w:val="000000"/>
          <w:sz w:val="20"/>
          <w:szCs w:val="20"/>
        </w:rPr>
        <w:t xml:space="preserve"> </w:t>
      </w:r>
    </w:p>
    <w:p w14:paraId="5982BF53" w14:textId="77777777" w:rsidR="00263973" w:rsidRPr="009F3982" w:rsidRDefault="00263973" w:rsidP="00263973">
      <w:pPr>
        <w:spacing w:after="120" w:line="360" w:lineRule="auto"/>
        <w:rPr>
          <w:rFonts w:ascii="Arial" w:hAnsi="Arial" w:cs="Arial"/>
          <w:b/>
          <w:color w:val="000000"/>
          <w:sz w:val="20"/>
          <w:szCs w:val="20"/>
        </w:rPr>
      </w:pPr>
      <w:r w:rsidRPr="009F3982">
        <w:rPr>
          <w:rFonts w:ascii="Arial" w:hAnsi="Arial" w:cs="Arial"/>
          <w:b/>
          <w:color w:val="000000"/>
          <w:sz w:val="20"/>
          <w:szCs w:val="20"/>
        </w:rPr>
        <w:t>References:</w:t>
      </w:r>
    </w:p>
    <w:p w14:paraId="07F2AA4C" w14:textId="77777777" w:rsidR="00263973" w:rsidRPr="009F3982" w:rsidRDefault="00263973" w:rsidP="00263973">
      <w:pPr>
        <w:spacing w:after="120" w:line="360" w:lineRule="auto"/>
        <w:rPr>
          <w:rFonts w:ascii="Arial" w:hAnsi="Arial" w:cs="Arial"/>
          <w:b/>
          <w:color w:val="000000"/>
          <w:sz w:val="20"/>
          <w:szCs w:val="20"/>
        </w:rPr>
      </w:pPr>
      <w:r w:rsidRPr="009F3982">
        <w:rPr>
          <w:rFonts w:ascii="Arial" w:hAnsi="Arial" w:cs="Arial"/>
          <w:b/>
          <w:color w:val="000000"/>
          <w:sz w:val="20"/>
          <w:szCs w:val="20"/>
        </w:rPr>
        <w:t>Figures:</w:t>
      </w:r>
    </w:p>
    <w:p w14:paraId="037BE29B" w14:textId="77777777" w:rsidR="00263973" w:rsidRPr="009F3982" w:rsidRDefault="00263973" w:rsidP="00263973">
      <w:pPr>
        <w:spacing w:after="120" w:line="360" w:lineRule="auto"/>
        <w:rPr>
          <w:rFonts w:ascii="Arial" w:hAnsi="Arial" w:cs="Arial"/>
          <w:b/>
          <w:color w:val="000000"/>
          <w:sz w:val="20"/>
          <w:szCs w:val="20"/>
        </w:rPr>
      </w:pPr>
      <w:r w:rsidRPr="009F3982">
        <w:rPr>
          <w:rFonts w:ascii="Arial" w:hAnsi="Arial" w:cs="Arial"/>
          <w:b/>
          <w:color w:val="000000"/>
          <w:sz w:val="20"/>
          <w:szCs w:val="20"/>
        </w:rPr>
        <w:t>Tables:</w:t>
      </w:r>
    </w:p>
    <w:p w14:paraId="42B1023D" w14:textId="77777777" w:rsidR="00263973" w:rsidRDefault="00263973" w:rsidP="00263973">
      <w:pPr>
        <w:autoSpaceDE w:val="0"/>
        <w:autoSpaceDN w:val="0"/>
        <w:adjustRightInd w:val="0"/>
        <w:spacing w:line="360" w:lineRule="auto"/>
        <w:ind w:right="95"/>
        <w:rPr>
          <w:rFonts w:ascii="Arial" w:hAnsi="Arial" w:cs="Arial"/>
          <w:sz w:val="20"/>
          <w:szCs w:val="20"/>
        </w:rPr>
      </w:pPr>
      <w:r w:rsidRPr="009F3982">
        <w:rPr>
          <w:rFonts w:ascii="Arial" w:hAnsi="Arial" w:cs="Arial"/>
          <w:sz w:val="20"/>
          <w:szCs w:val="20"/>
        </w:rPr>
        <w:t xml:space="preserve"> </w:t>
      </w:r>
    </w:p>
    <w:p w14:paraId="363FAE11" w14:textId="77777777" w:rsidR="009F3982" w:rsidRDefault="009F3982" w:rsidP="00263973">
      <w:pPr>
        <w:autoSpaceDE w:val="0"/>
        <w:autoSpaceDN w:val="0"/>
        <w:adjustRightInd w:val="0"/>
        <w:spacing w:line="360" w:lineRule="auto"/>
        <w:ind w:right="95"/>
        <w:rPr>
          <w:rFonts w:ascii="Arial" w:hAnsi="Arial" w:cs="Arial"/>
          <w:sz w:val="20"/>
          <w:szCs w:val="20"/>
        </w:rPr>
      </w:pPr>
    </w:p>
    <w:p w14:paraId="44059EA3" w14:textId="77777777" w:rsidR="009F3982" w:rsidRPr="009F3982" w:rsidRDefault="009F3982" w:rsidP="00263973">
      <w:pPr>
        <w:autoSpaceDE w:val="0"/>
        <w:autoSpaceDN w:val="0"/>
        <w:adjustRightInd w:val="0"/>
        <w:spacing w:line="360" w:lineRule="auto"/>
        <w:ind w:right="95"/>
        <w:rPr>
          <w:rFonts w:ascii="Arial" w:hAnsi="Arial" w:cs="Arial"/>
          <w:sz w:val="20"/>
          <w:szCs w:val="20"/>
        </w:rPr>
      </w:pPr>
    </w:p>
    <w:p w14:paraId="1BAFC544" w14:textId="77777777" w:rsidR="00263973" w:rsidRPr="009F3982" w:rsidRDefault="00263973" w:rsidP="00263973">
      <w:pPr>
        <w:rPr>
          <w:rFonts w:ascii="Arial" w:hAnsi="Arial" w:cs="Arial"/>
          <w:noProof/>
          <w:sz w:val="20"/>
          <w:szCs w:val="20"/>
        </w:rPr>
      </w:pPr>
    </w:p>
    <w:p w14:paraId="4C88F457" w14:textId="77777777" w:rsidR="00263973" w:rsidRPr="009F3982" w:rsidRDefault="00263973" w:rsidP="00D75070">
      <w:pPr>
        <w:spacing w:line="360" w:lineRule="auto"/>
        <w:rPr>
          <w:rFonts w:ascii="Arial" w:hAnsi="Arial" w:cs="Arial"/>
          <w:b/>
          <w:sz w:val="20"/>
          <w:szCs w:val="20"/>
        </w:rPr>
      </w:pPr>
    </w:p>
    <w:p w14:paraId="0D0AD942" w14:textId="77777777" w:rsidR="00263973" w:rsidRPr="009F3982" w:rsidRDefault="00263973" w:rsidP="00D75070">
      <w:pPr>
        <w:spacing w:line="360" w:lineRule="auto"/>
        <w:rPr>
          <w:rFonts w:ascii="Arial" w:hAnsi="Arial" w:cs="Arial"/>
          <w:b/>
          <w:sz w:val="20"/>
          <w:szCs w:val="20"/>
        </w:rPr>
      </w:pPr>
    </w:p>
    <w:p w14:paraId="743D7A63" w14:textId="77777777" w:rsidR="00263973" w:rsidRPr="009F3982" w:rsidRDefault="00263973" w:rsidP="00D75070">
      <w:pPr>
        <w:spacing w:line="360" w:lineRule="auto"/>
        <w:rPr>
          <w:rFonts w:ascii="Arial" w:hAnsi="Arial" w:cs="Arial"/>
          <w:b/>
          <w:sz w:val="20"/>
          <w:szCs w:val="20"/>
        </w:rPr>
      </w:pPr>
    </w:p>
    <w:p w14:paraId="758D17C1" w14:textId="77777777" w:rsidR="00263973" w:rsidRPr="009F3982" w:rsidRDefault="00263973" w:rsidP="00D75070">
      <w:pPr>
        <w:spacing w:line="360" w:lineRule="auto"/>
        <w:rPr>
          <w:rFonts w:ascii="Arial" w:hAnsi="Arial" w:cs="Arial"/>
          <w:b/>
          <w:sz w:val="20"/>
          <w:szCs w:val="20"/>
        </w:rPr>
      </w:pPr>
    </w:p>
    <w:p w14:paraId="03066F04" w14:textId="77777777" w:rsidR="00263973" w:rsidRPr="009F3982" w:rsidRDefault="00263973" w:rsidP="00D75070">
      <w:pPr>
        <w:spacing w:line="360" w:lineRule="auto"/>
        <w:rPr>
          <w:rFonts w:ascii="Arial" w:hAnsi="Arial" w:cs="Arial"/>
          <w:b/>
          <w:sz w:val="20"/>
          <w:szCs w:val="20"/>
        </w:rPr>
      </w:pPr>
    </w:p>
    <w:p w14:paraId="3E89944D" w14:textId="77777777" w:rsidR="009F3982" w:rsidRPr="009F3982" w:rsidRDefault="009F3982" w:rsidP="009F3982">
      <w:pPr>
        <w:spacing w:line="360" w:lineRule="auto"/>
        <w:rPr>
          <w:rFonts w:ascii="Arial" w:hAnsi="Arial" w:cs="Arial"/>
          <w:b/>
          <w:sz w:val="20"/>
          <w:szCs w:val="20"/>
        </w:rPr>
      </w:pPr>
    </w:p>
    <w:p w14:paraId="6E7AD6EF" w14:textId="52627B52" w:rsidR="00263973" w:rsidRPr="009F3982" w:rsidRDefault="00263973" w:rsidP="009F3982">
      <w:pPr>
        <w:spacing w:line="360" w:lineRule="auto"/>
        <w:jc w:val="center"/>
        <w:rPr>
          <w:rFonts w:ascii="Arial" w:hAnsi="Arial" w:cs="Arial"/>
          <w:b/>
          <w:sz w:val="20"/>
          <w:szCs w:val="20"/>
        </w:rPr>
      </w:pPr>
      <w:r w:rsidRPr="009F3982">
        <w:rPr>
          <w:rFonts w:ascii="Arial" w:hAnsi="Arial" w:cs="Arial"/>
          <w:b/>
          <w:sz w:val="20"/>
          <w:szCs w:val="20"/>
        </w:rPr>
        <w:lastRenderedPageBreak/>
        <w:t>ABSTRACT</w:t>
      </w:r>
    </w:p>
    <w:p w14:paraId="79948941" w14:textId="77777777" w:rsidR="00263973" w:rsidRPr="009F3982" w:rsidRDefault="00263973" w:rsidP="00D75070">
      <w:pPr>
        <w:spacing w:line="360" w:lineRule="auto"/>
        <w:rPr>
          <w:rFonts w:ascii="Arial" w:hAnsi="Arial" w:cs="Arial"/>
          <w:b/>
          <w:sz w:val="20"/>
          <w:szCs w:val="20"/>
        </w:rPr>
      </w:pPr>
    </w:p>
    <w:p w14:paraId="173D3BE1" w14:textId="69D65A4D" w:rsidR="00D75070" w:rsidRPr="009F3982" w:rsidRDefault="0074137D" w:rsidP="00D75070">
      <w:pPr>
        <w:spacing w:line="360" w:lineRule="auto"/>
        <w:rPr>
          <w:rFonts w:ascii="Arial" w:hAnsi="Arial" w:cs="Arial"/>
          <w:b/>
          <w:sz w:val="20"/>
          <w:szCs w:val="20"/>
        </w:rPr>
      </w:pPr>
      <w:r w:rsidRPr="009F3982">
        <w:rPr>
          <w:rFonts w:ascii="Arial" w:hAnsi="Arial" w:cs="Arial"/>
          <w:b/>
          <w:sz w:val="20"/>
          <w:szCs w:val="20"/>
        </w:rPr>
        <w:t xml:space="preserve">BACKGROUND. </w:t>
      </w:r>
      <w:r w:rsidR="00056FEF" w:rsidRPr="009F3982">
        <w:rPr>
          <w:rFonts w:ascii="Arial" w:hAnsi="Arial" w:cs="Arial"/>
          <w:sz w:val="20"/>
          <w:szCs w:val="20"/>
        </w:rPr>
        <w:t xml:space="preserve">Household contacts </w:t>
      </w:r>
      <w:r w:rsidR="00A11B09" w:rsidRPr="009F3982">
        <w:rPr>
          <w:rFonts w:ascii="Arial" w:hAnsi="Arial" w:cs="Arial"/>
          <w:sz w:val="20"/>
          <w:szCs w:val="20"/>
        </w:rPr>
        <w:t>of TB</w:t>
      </w:r>
      <w:r w:rsidR="00056FEF" w:rsidRPr="009F3982">
        <w:rPr>
          <w:rFonts w:ascii="Arial" w:hAnsi="Arial" w:cs="Arial"/>
          <w:sz w:val="20"/>
          <w:szCs w:val="20"/>
        </w:rPr>
        <w:t xml:space="preserve"> cases are at </w:t>
      </w:r>
      <w:r w:rsidR="00A11B09" w:rsidRPr="009F3982">
        <w:rPr>
          <w:rFonts w:ascii="Arial" w:hAnsi="Arial" w:cs="Arial"/>
          <w:sz w:val="20"/>
          <w:szCs w:val="20"/>
        </w:rPr>
        <w:t xml:space="preserve">high </w:t>
      </w:r>
      <w:r w:rsidR="00056FEF" w:rsidRPr="009F3982">
        <w:rPr>
          <w:rFonts w:ascii="Arial" w:hAnsi="Arial" w:cs="Arial"/>
          <w:sz w:val="20"/>
          <w:szCs w:val="20"/>
        </w:rPr>
        <w:t xml:space="preserve">risk of developing </w:t>
      </w:r>
      <w:r w:rsidR="00A11B09" w:rsidRPr="009F3982">
        <w:rPr>
          <w:rFonts w:ascii="Arial" w:hAnsi="Arial" w:cs="Arial"/>
          <w:sz w:val="20"/>
          <w:szCs w:val="20"/>
        </w:rPr>
        <w:t>TB</w:t>
      </w:r>
      <w:r w:rsidR="004F4EBF" w:rsidRPr="009F3982">
        <w:rPr>
          <w:rFonts w:ascii="Arial" w:hAnsi="Arial" w:cs="Arial"/>
          <w:sz w:val="20"/>
          <w:szCs w:val="20"/>
        </w:rPr>
        <w:t xml:space="preserve"> disease</w:t>
      </w:r>
      <w:r w:rsidR="009F3982" w:rsidRPr="009F3982">
        <w:rPr>
          <w:rFonts w:ascii="Arial" w:hAnsi="Arial" w:cs="Arial"/>
          <w:sz w:val="20"/>
          <w:szCs w:val="20"/>
        </w:rPr>
        <w:t xml:space="preserve">. </w:t>
      </w:r>
      <w:r w:rsidR="009F3982" w:rsidRPr="009F3982">
        <w:rPr>
          <w:rFonts w:ascii="Arial" w:hAnsi="Arial"/>
          <w:sz w:val="20"/>
          <w:szCs w:val="20"/>
        </w:rPr>
        <w:t>Strategies are required to identify effective practices to deliver TB screening and chemoprophylaxis to high-risk groups</w:t>
      </w:r>
      <w:r w:rsidR="00A11B09" w:rsidRPr="009F3982">
        <w:rPr>
          <w:rFonts w:ascii="Arial" w:hAnsi="Arial"/>
          <w:sz w:val="20"/>
          <w:szCs w:val="20"/>
        </w:rPr>
        <w:t>.</w:t>
      </w:r>
      <w:r w:rsidR="00056FEF" w:rsidRPr="009F3982">
        <w:rPr>
          <w:rFonts w:ascii="Arial" w:hAnsi="Arial" w:cs="Arial"/>
          <w:sz w:val="20"/>
          <w:szCs w:val="20"/>
        </w:rPr>
        <w:t xml:space="preserve"> We </w:t>
      </w:r>
      <w:r w:rsidR="009F3982">
        <w:rPr>
          <w:rFonts w:ascii="Arial" w:hAnsi="Arial" w:cs="Arial"/>
          <w:sz w:val="20"/>
          <w:szCs w:val="20"/>
        </w:rPr>
        <w:t>developed a model to predict</w:t>
      </w:r>
      <w:r w:rsidR="00056FEF" w:rsidRPr="009F3982">
        <w:rPr>
          <w:rFonts w:ascii="Arial" w:hAnsi="Arial" w:cs="Arial"/>
          <w:sz w:val="20"/>
          <w:szCs w:val="20"/>
        </w:rPr>
        <w:t xml:space="preserve"> risk of</w:t>
      </w:r>
      <w:r w:rsidR="004F4EBF" w:rsidRPr="009F3982">
        <w:rPr>
          <w:rFonts w:ascii="Arial" w:hAnsi="Arial" w:cs="Arial"/>
          <w:sz w:val="20"/>
          <w:szCs w:val="20"/>
        </w:rPr>
        <w:t xml:space="preserve"> TB disease</w:t>
      </w:r>
      <w:r w:rsidR="00056FEF" w:rsidRPr="009F3982">
        <w:rPr>
          <w:rFonts w:ascii="Arial" w:hAnsi="Arial" w:cs="Arial"/>
          <w:sz w:val="20"/>
          <w:szCs w:val="20"/>
        </w:rPr>
        <w:t xml:space="preserve"> that could be used to</w:t>
      </w:r>
      <w:r w:rsidR="009F3982">
        <w:rPr>
          <w:rFonts w:ascii="Arial" w:hAnsi="Arial" w:cs="Arial"/>
          <w:sz w:val="20"/>
          <w:szCs w:val="20"/>
        </w:rPr>
        <w:t xml:space="preserve"> target</w:t>
      </w:r>
      <w:r w:rsidR="00056FEF" w:rsidRPr="009F3982">
        <w:rPr>
          <w:rFonts w:ascii="Arial" w:hAnsi="Arial" w:cs="Arial"/>
          <w:sz w:val="20"/>
          <w:szCs w:val="20"/>
        </w:rPr>
        <w:t xml:space="preserve"> interventions towards those most in need.</w:t>
      </w:r>
    </w:p>
    <w:p w14:paraId="232EF112" w14:textId="77777777" w:rsidR="00D75070" w:rsidRPr="009F3982" w:rsidRDefault="00D75070" w:rsidP="00D75070">
      <w:pPr>
        <w:spacing w:line="360" w:lineRule="auto"/>
        <w:rPr>
          <w:rFonts w:ascii="Arial" w:hAnsi="Arial" w:cs="Arial"/>
          <w:b/>
          <w:sz w:val="20"/>
          <w:szCs w:val="20"/>
        </w:rPr>
      </w:pPr>
    </w:p>
    <w:p w14:paraId="5AE2FA35" w14:textId="55BC0D74" w:rsidR="00D75070" w:rsidRPr="009F3982" w:rsidRDefault="0074137D" w:rsidP="00D75070">
      <w:pPr>
        <w:spacing w:line="360" w:lineRule="auto"/>
        <w:rPr>
          <w:rFonts w:ascii="Arial" w:hAnsi="Arial" w:cs="Arial"/>
          <w:color w:val="0E0E0E"/>
          <w:sz w:val="20"/>
          <w:szCs w:val="20"/>
        </w:rPr>
      </w:pPr>
      <w:r w:rsidRPr="009F3982">
        <w:rPr>
          <w:rFonts w:ascii="Arial" w:hAnsi="Arial" w:cs="Arial"/>
          <w:b/>
          <w:sz w:val="20"/>
          <w:szCs w:val="20"/>
        </w:rPr>
        <w:t>METHODS.</w:t>
      </w:r>
      <w:r w:rsidR="00D75070" w:rsidRPr="009F3982">
        <w:rPr>
          <w:rFonts w:ascii="Arial" w:hAnsi="Arial" w:cs="Arial"/>
          <w:b/>
          <w:sz w:val="20"/>
          <w:szCs w:val="20"/>
        </w:rPr>
        <w:t xml:space="preserve"> </w:t>
      </w:r>
      <w:r w:rsidR="00056FEF" w:rsidRPr="009F3982">
        <w:rPr>
          <w:rFonts w:ascii="Arial" w:hAnsi="Arial" w:cs="Arial"/>
          <w:sz w:val="20"/>
          <w:szCs w:val="20"/>
        </w:rPr>
        <w:t xml:space="preserve">We identified newly diagnosed </w:t>
      </w:r>
      <w:r w:rsidRPr="009F3982">
        <w:rPr>
          <w:rFonts w:ascii="Arial" w:hAnsi="Arial" w:cs="Arial"/>
          <w:sz w:val="20"/>
          <w:szCs w:val="20"/>
        </w:rPr>
        <w:t>index-</w:t>
      </w:r>
      <w:r w:rsidR="00056FEF" w:rsidRPr="009F3982">
        <w:rPr>
          <w:rFonts w:ascii="Arial" w:hAnsi="Arial" w:cs="Arial"/>
          <w:sz w:val="20"/>
          <w:szCs w:val="20"/>
        </w:rPr>
        <w:t xml:space="preserve">patients with smear-positive, pulmonary tuberculosis (n=714) and recruited their initially healthy household contacts aged </w:t>
      </w:r>
      <w:r w:rsidR="00056FEF" w:rsidRPr="009F3982">
        <w:rPr>
          <w:rFonts w:ascii="Arial" w:eastAsia="ＭＳ ゴシック" w:hAnsi="Arial" w:cs="Arial"/>
          <w:color w:val="000000"/>
          <w:sz w:val="20"/>
          <w:szCs w:val="20"/>
        </w:rPr>
        <w:t>≥</w:t>
      </w:r>
      <w:r w:rsidR="00056FEF" w:rsidRPr="009F3982">
        <w:rPr>
          <w:rFonts w:ascii="Arial" w:hAnsi="Arial" w:cs="Arial"/>
          <w:sz w:val="20"/>
          <w:szCs w:val="20"/>
        </w:rPr>
        <w:t xml:space="preserve">15 years (n=2,017) in Callao, </w:t>
      </w:r>
      <w:proofErr w:type="spellStart"/>
      <w:r w:rsidR="00056FEF" w:rsidRPr="009F3982">
        <w:rPr>
          <w:rFonts w:ascii="Arial" w:hAnsi="Arial" w:cs="Arial"/>
          <w:sz w:val="20"/>
          <w:szCs w:val="20"/>
        </w:rPr>
        <w:t>Perú</w:t>
      </w:r>
      <w:proofErr w:type="spellEnd"/>
      <w:r w:rsidR="00294F79" w:rsidRPr="009F3982">
        <w:rPr>
          <w:rFonts w:ascii="Arial" w:hAnsi="Arial" w:cs="Arial"/>
          <w:sz w:val="20"/>
          <w:szCs w:val="20"/>
        </w:rPr>
        <w:t xml:space="preserve">. </w:t>
      </w:r>
      <w:r w:rsidR="00294F79" w:rsidRPr="009F3982">
        <w:rPr>
          <w:rFonts w:ascii="Arial" w:hAnsi="Arial" w:cs="Arial"/>
          <w:color w:val="0E0E0E"/>
          <w:sz w:val="20"/>
          <w:szCs w:val="20"/>
        </w:rPr>
        <w:t xml:space="preserve">The association between potential risk </w:t>
      </w:r>
      <w:r w:rsidR="006C248B" w:rsidRPr="009F3982">
        <w:rPr>
          <w:rFonts w:ascii="Arial" w:hAnsi="Arial" w:cs="Arial"/>
          <w:sz w:val="20"/>
          <w:szCs w:val="20"/>
        </w:rPr>
        <w:t>factors and tuberculosis was tested by Cox proportional-hazards a</w:t>
      </w:r>
      <w:r w:rsidR="00D57B11" w:rsidRPr="009F3982">
        <w:rPr>
          <w:rFonts w:ascii="Arial" w:hAnsi="Arial" w:cs="Arial"/>
          <w:sz w:val="20"/>
          <w:szCs w:val="20"/>
        </w:rPr>
        <w:t xml:space="preserve">nalysis. 1008 </w:t>
      </w:r>
      <w:r w:rsidR="009F3982" w:rsidRPr="009F3982">
        <w:rPr>
          <w:rFonts w:ascii="Arial" w:hAnsi="Arial" w:cs="Arial"/>
          <w:sz w:val="20"/>
          <w:szCs w:val="20"/>
        </w:rPr>
        <w:t>contacts were randomly selected to form a</w:t>
      </w:r>
      <w:r w:rsidRPr="009F3982">
        <w:rPr>
          <w:rFonts w:ascii="Arial" w:hAnsi="Arial" w:cs="Arial"/>
          <w:sz w:val="20"/>
          <w:szCs w:val="20"/>
        </w:rPr>
        <w:t xml:space="preserve"> </w:t>
      </w:r>
      <w:r w:rsidR="0077435D" w:rsidRPr="009F3982">
        <w:rPr>
          <w:rFonts w:ascii="Arial" w:hAnsi="Arial" w:cs="Arial"/>
          <w:sz w:val="20"/>
          <w:szCs w:val="20"/>
        </w:rPr>
        <w:t>derivation</w:t>
      </w:r>
      <w:r w:rsidR="006C248B" w:rsidRPr="009F3982">
        <w:rPr>
          <w:rFonts w:ascii="Arial" w:hAnsi="Arial" w:cs="Arial"/>
          <w:sz w:val="20"/>
          <w:szCs w:val="20"/>
        </w:rPr>
        <w:t xml:space="preserve"> cohort</w:t>
      </w:r>
      <w:r w:rsidR="004E6D88" w:rsidRPr="009F3982">
        <w:rPr>
          <w:rFonts w:ascii="Arial" w:hAnsi="Arial" w:cs="Arial"/>
          <w:color w:val="0E0E0E"/>
          <w:sz w:val="20"/>
          <w:szCs w:val="20"/>
        </w:rPr>
        <w:t xml:space="preserve"> </w:t>
      </w:r>
      <w:r w:rsidR="009F3982" w:rsidRPr="009F3982">
        <w:rPr>
          <w:rFonts w:ascii="Arial" w:hAnsi="Arial" w:cs="Arial"/>
          <w:sz w:val="20"/>
          <w:szCs w:val="20"/>
        </w:rPr>
        <w:t xml:space="preserve">and a risk </w:t>
      </w:r>
      <w:r w:rsidR="004E6D88" w:rsidRPr="009F3982">
        <w:rPr>
          <w:rFonts w:ascii="Arial" w:hAnsi="Arial" w:cs="Arial"/>
          <w:sz w:val="20"/>
          <w:szCs w:val="20"/>
        </w:rPr>
        <w:t xml:space="preserve">score </w:t>
      </w:r>
      <w:r w:rsidR="009F3982" w:rsidRPr="009F3982">
        <w:rPr>
          <w:rFonts w:ascii="Arial" w:hAnsi="Arial" w:cs="Arial"/>
          <w:sz w:val="20"/>
          <w:szCs w:val="20"/>
        </w:rPr>
        <w:t xml:space="preserve">was created </w:t>
      </w:r>
      <w:r w:rsidR="004E6D88" w:rsidRPr="009F3982">
        <w:rPr>
          <w:rFonts w:ascii="Arial" w:hAnsi="Arial" w:cs="Arial"/>
          <w:sz w:val="20"/>
          <w:szCs w:val="20"/>
        </w:rPr>
        <w:t>that</w:t>
      </w:r>
      <w:r w:rsidR="009F3982" w:rsidRPr="009F3982">
        <w:rPr>
          <w:rFonts w:ascii="Arial" w:hAnsi="Arial" w:cs="Arial"/>
          <w:sz w:val="20"/>
          <w:szCs w:val="20"/>
        </w:rPr>
        <w:t xml:space="preserve"> was</w:t>
      </w:r>
      <w:r w:rsidR="00D57B11" w:rsidRPr="009F3982">
        <w:rPr>
          <w:rFonts w:ascii="Arial" w:hAnsi="Arial" w:cs="Arial"/>
          <w:sz w:val="20"/>
          <w:szCs w:val="20"/>
        </w:rPr>
        <w:t xml:space="preserve"> then validated in</w:t>
      </w:r>
      <w:r w:rsidR="004E6D88" w:rsidRPr="009F3982">
        <w:rPr>
          <w:rFonts w:ascii="Arial" w:hAnsi="Arial" w:cs="Arial"/>
          <w:sz w:val="20"/>
          <w:szCs w:val="20"/>
        </w:rPr>
        <w:t xml:space="preserve"> the remaining 1009</w:t>
      </w:r>
      <w:r w:rsidR="00D57B11" w:rsidRPr="009F3982">
        <w:rPr>
          <w:rFonts w:ascii="Arial" w:hAnsi="Arial" w:cs="Arial"/>
          <w:sz w:val="20"/>
          <w:szCs w:val="20"/>
        </w:rPr>
        <w:t xml:space="preserve"> </w:t>
      </w:r>
      <w:r w:rsidR="006C248B" w:rsidRPr="009F3982">
        <w:rPr>
          <w:rFonts w:ascii="Arial" w:hAnsi="Arial" w:cs="Arial"/>
          <w:sz w:val="20"/>
          <w:szCs w:val="20"/>
        </w:rPr>
        <w:t xml:space="preserve">contacts.      </w:t>
      </w:r>
      <w:r w:rsidR="00056FEF" w:rsidRPr="009F3982">
        <w:rPr>
          <w:rFonts w:ascii="Arial" w:hAnsi="Arial" w:cs="Arial"/>
          <w:sz w:val="20"/>
          <w:szCs w:val="20"/>
        </w:rPr>
        <w:t xml:space="preserve"> </w:t>
      </w:r>
    </w:p>
    <w:p w14:paraId="50A5A5B6" w14:textId="77777777" w:rsidR="00056FEF" w:rsidRPr="009F3982" w:rsidRDefault="00056FEF" w:rsidP="00D75070">
      <w:pPr>
        <w:spacing w:line="360" w:lineRule="auto"/>
        <w:rPr>
          <w:rFonts w:ascii="Arial" w:hAnsi="Arial" w:cs="Arial"/>
          <w:b/>
          <w:i/>
          <w:sz w:val="20"/>
          <w:szCs w:val="20"/>
        </w:rPr>
      </w:pPr>
    </w:p>
    <w:p w14:paraId="7DD30484" w14:textId="4AFB552F" w:rsidR="00D75070" w:rsidRPr="009F3982" w:rsidRDefault="0074137D" w:rsidP="00D75070">
      <w:pPr>
        <w:spacing w:line="360" w:lineRule="auto"/>
        <w:rPr>
          <w:rFonts w:ascii="Arial" w:hAnsi="Arial" w:cs="Arial"/>
          <w:sz w:val="20"/>
          <w:szCs w:val="20"/>
        </w:rPr>
      </w:pPr>
      <w:r w:rsidRPr="009F3982">
        <w:rPr>
          <w:rFonts w:ascii="Arial" w:hAnsi="Arial" w:cs="Arial"/>
          <w:b/>
          <w:sz w:val="20"/>
          <w:szCs w:val="20"/>
        </w:rPr>
        <w:t xml:space="preserve">RESULTS. </w:t>
      </w:r>
      <w:r w:rsidR="0077435D" w:rsidRPr="009F3982">
        <w:rPr>
          <w:rFonts w:ascii="Arial" w:hAnsi="Arial" w:cs="Arial"/>
          <w:sz w:val="20"/>
          <w:szCs w:val="20"/>
        </w:rPr>
        <w:t xml:space="preserve">7.8% of contacts in the derivation </w:t>
      </w:r>
      <w:r w:rsidRPr="009F3982">
        <w:rPr>
          <w:rFonts w:ascii="Arial" w:hAnsi="Arial" w:cs="Arial"/>
          <w:sz w:val="20"/>
          <w:szCs w:val="20"/>
        </w:rPr>
        <w:t xml:space="preserve">and </w:t>
      </w:r>
      <w:r w:rsidR="004A3D84" w:rsidRPr="009F3982">
        <w:rPr>
          <w:rFonts w:ascii="Arial" w:hAnsi="Arial" w:cs="Arial"/>
          <w:sz w:val="20"/>
          <w:szCs w:val="20"/>
        </w:rPr>
        <w:t xml:space="preserve">8.2% in the validation cohort developed tuberculosis </w:t>
      </w:r>
      <w:r w:rsidR="00D57B11" w:rsidRPr="009F3982">
        <w:rPr>
          <w:rFonts w:ascii="Arial" w:hAnsi="Arial" w:cs="Arial"/>
          <w:sz w:val="20"/>
          <w:szCs w:val="20"/>
        </w:rPr>
        <w:t>during</w:t>
      </w:r>
      <w:r w:rsidR="004E6D88" w:rsidRPr="009F3982">
        <w:rPr>
          <w:rFonts w:ascii="Arial" w:hAnsi="Arial" w:cs="Arial"/>
          <w:sz w:val="20"/>
          <w:szCs w:val="20"/>
        </w:rPr>
        <w:t xml:space="preserve"> median 11 years</w:t>
      </w:r>
      <w:r w:rsidR="007D2326" w:rsidRPr="009F3982">
        <w:rPr>
          <w:rFonts w:ascii="Arial" w:hAnsi="Arial" w:cs="Arial"/>
          <w:sz w:val="20"/>
          <w:szCs w:val="20"/>
        </w:rPr>
        <w:t xml:space="preserve"> follow</w:t>
      </w:r>
      <w:r w:rsidRPr="009F3982">
        <w:rPr>
          <w:rFonts w:ascii="Arial" w:hAnsi="Arial" w:cs="Arial"/>
          <w:sz w:val="20"/>
          <w:szCs w:val="20"/>
        </w:rPr>
        <w:t>-</w:t>
      </w:r>
      <w:r w:rsidR="007D2326" w:rsidRPr="009F3982">
        <w:rPr>
          <w:rFonts w:ascii="Arial" w:hAnsi="Arial" w:cs="Arial"/>
          <w:sz w:val="20"/>
          <w:szCs w:val="20"/>
        </w:rPr>
        <w:t>up. Eight</w:t>
      </w:r>
      <w:r w:rsidR="00D57B11" w:rsidRPr="009F3982">
        <w:rPr>
          <w:rFonts w:ascii="Arial" w:hAnsi="Arial" w:cs="Arial"/>
          <w:sz w:val="20"/>
          <w:szCs w:val="20"/>
        </w:rPr>
        <w:t xml:space="preserve"> independent predictors for </w:t>
      </w:r>
      <w:r w:rsidRPr="009F3982">
        <w:rPr>
          <w:rFonts w:ascii="Arial" w:hAnsi="Arial" w:cs="Arial"/>
          <w:sz w:val="20"/>
          <w:szCs w:val="20"/>
        </w:rPr>
        <w:t>tuberculosis</w:t>
      </w:r>
      <w:r w:rsidR="004E6D88" w:rsidRPr="009F3982">
        <w:rPr>
          <w:rFonts w:ascii="Arial" w:hAnsi="Arial" w:cs="Arial"/>
          <w:sz w:val="20"/>
          <w:szCs w:val="20"/>
        </w:rPr>
        <w:t xml:space="preserve"> were identified and</w:t>
      </w:r>
      <w:r w:rsidR="00D57B11" w:rsidRPr="009F3982">
        <w:rPr>
          <w:rFonts w:ascii="Arial" w:hAnsi="Arial" w:cs="Arial"/>
          <w:sz w:val="20"/>
          <w:szCs w:val="20"/>
        </w:rPr>
        <w:t xml:space="preserve"> each </w:t>
      </w:r>
      <w:r w:rsidR="004E6D88" w:rsidRPr="009F3982">
        <w:rPr>
          <w:rFonts w:ascii="Arial" w:hAnsi="Arial" w:cs="Arial"/>
          <w:sz w:val="20"/>
          <w:szCs w:val="20"/>
        </w:rPr>
        <w:t xml:space="preserve">was </w:t>
      </w:r>
      <w:r w:rsidR="00D57B11" w:rsidRPr="009F3982">
        <w:rPr>
          <w:rFonts w:ascii="Arial" w:hAnsi="Arial" w:cs="Arial"/>
          <w:sz w:val="20"/>
          <w:szCs w:val="20"/>
        </w:rPr>
        <w:t xml:space="preserve">assigned a </w:t>
      </w:r>
      <w:r w:rsidRPr="009F3982">
        <w:rPr>
          <w:rFonts w:ascii="Arial" w:hAnsi="Arial" w:cs="Arial"/>
          <w:sz w:val="20"/>
          <w:szCs w:val="20"/>
        </w:rPr>
        <w:t>point score</w:t>
      </w:r>
      <w:r w:rsidR="00D57B11" w:rsidRPr="009F3982">
        <w:rPr>
          <w:rFonts w:ascii="Arial" w:hAnsi="Arial" w:cs="Arial"/>
          <w:sz w:val="20"/>
          <w:szCs w:val="20"/>
        </w:rPr>
        <w:t xml:space="preserve"> proportional to its regression coeffi</w:t>
      </w:r>
      <w:r w:rsidR="00294F79" w:rsidRPr="009F3982">
        <w:rPr>
          <w:rFonts w:ascii="Arial" w:hAnsi="Arial" w:cs="Arial"/>
          <w:sz w:val="20"/>
          <w:szCs w:val="20"/>
        </w:rPr>
        <w:t xml:space="preserve">cient: </w:t>
      </w:r>
      <w:r w:rsidRPr="009F3982">
        <w:rPr>
          <w:rFonts w:ascii="Arial" w:hAnsi="Arial" w:cs="Arial"/>
          <w:sz w:val="20"/>
          <w:szCs w:val="20"/>
        </w:rPr>
        <w:t>Aged</w:t>
      </w:r>
      <w:r w:rsidR="00E27CF2" w:rsidRPr="009F3982">
        <w:rPr>
          <w:rFonts w:ascii="Arial" w:hAnsi="Arial" w:cs="Arial"/>
          <w:sz w:val="20"/>
          <w:szCs w:val="20"/>
        </w:rPr>
        <w:t xml:space="preserve"> 15-</w:t>
      </w:r>
      <w:r w:rsidR="009F3982" w:rsidRPr="009F3982">
        <w:rPr>
          <w:rFonts w:ascii="Arial" w:hAnsi="Arial" w:cs="Arial"/>
          <w:sz w:val="20"/>
          <w:szCs w:val="20"/>
        </w:rPr>
        <w:t>17</w:t>
      </w:r>
      <w:r w:rsidR="00294F79" w:rsidRPr="009F3982">
        <w:rPr>
          <w:rFonts w:ascii="Arial" w:hAnsi="Arial" w:cs="Arial"/>
          <w:sz w:val="20"/>
          <w:szCs w:val="20"/>
        </w:rPr>
        <w:t xml:space="preserve"> or &gt;50</w:t>
      </w:r>
      <w:r w:rsidRPr="009F3982">
        <w:rPr>
          <w:rFonts w:ascii="Arial" w:hAnsi="Arial" w:cs="Arial"/>
          <w:sz w:val="20"/>
          <w:szCs w:val="20"/>
        </w:rPr>
        <w:t xml:space="preserve"> years; history of previous </w:t>
      </w:r>
      <w:r w:rsidR="004F4EBF" w:rsidRPr="009F3982">
        <w:rPr>
          <w:rFonts w:ascii="Arial" w:hAnsi="Arial" w:cs="Arial"/>
          <w:sz w:val="20"/>
          <w:szCs w:val="20"/>
        </w:rPr>
        <w:t>TB</w:t>
      </w:r>
      <w:r w:rsidR="00294F79" w:rsidRPr="009F3982">
        <w:rPr>
          <w:rFonts w:ascii="Arial" w:hAnsi="Arial" w:cs="Arial"/>
          <w:sz w:val="20"/>
          <w:szCs w:val="20"/>
        </w:rPr>
        <w:t>; body mass index, poverty; exposure to indoor air pollution; hours spent with the index, index</w:t>
      </w:r>
      <w:r w:rsidR="007D2326" w:rsidRPr="009F3982">
        <w:rPr>
          <w:rFonts w:ascii="Arial" w:hAnsi="Arial" w:cs="Arial"/>
          <w:sz w:val="20"/>
          <w:szCs w:val="20"/>
        </w:rPr>
        <w:t>-</w:t>
      </w:r>
      <w:r w:rsidR="00294F79" w:rsidRPr="009F3982">
        <w:rPr>
          <w:rFonts w:ascii="Arial" w:hAnsi="Arial" w:cs="Arial"/>
          <w:sz w:val="20"/>
          <w:szCs w:val="20"/>
        </w:rPr>
        <w:t xml:space="preserve">sex male and </w:t>
      </w:r>
      <w:r w:rsidR="007D2326" w:rsidRPr="009F3982">
        <w:rPr>
          <w:rFonts w:ascii="Arial" w:hAnsi="Arial" w:cs="Arial"/>
          <w:sz w:val="20"/>
          <w:szCs w:val="20"/>
        </w:rPr>
        <w:t xml:space="preserve">index </w:t>
      </w:r>
      <w:r w:rsidR="00294F79" w:rsidRPr="009F3982">
        <w:rPr>
          <w:rFonts w:ascii="Arial" w:hAnsi="Arial" w:cs="Arial"/>
          <w:sz w:val="20"/>
          <w:szCs w:val="20"/>
        </w:rPr>
        <w:t>smear-positivity grade. We calculated risk scores for each contact and defined low, intermediate and high</w:t>
      </w:r>
      <w:r w:rsidR="004E6D88" w:rsidRPr="009F3982">
        <w:rPr>
          <w:rFonts w:ascii="Arial" w:hAnsi="Arial" w:cs="Arial"/>
          <w:sz w:val="20"/>
          <w:szCs w:val="20"/>
        </w:rPr>
        <w:t>-</w:t>
      </w:r>
      <w:r w:rsidR="00294F79" w:rsidRPr="009F3982">
        <w:rPr>
          <w:rFonts w:ascii="Arial" w:hAnsi="Arial" w:cs="Arial"/>
          <w:sz w:val="20"/>
          <w:szCs w:val="20"/>
        </w:rPr>
        <w:t>risk</w:t>
      </w:r>
      <w:r w:rsidR="007D2326" w:rsidRPr="009F3982">
        <w:rPr>
          <w:rFonts w:ascii="Arial" w:hAnsi="Arial" w:cs="Arial"/>
          <w:sz w:val="20"/>
          <w:szCs w:val="20"/>
        </w:rPr>
        <w:t xml:space="preserve"> </w:t>
      </w:r>
      <w:r w:rsidR="00294F79" w:rsidRPr="009F3982">
        <w:rPr>
          <w:rFonts w:ascii="Arial" w:hAnsi="Arial" w:cs="Arial"/>
          <w:sz w:val="20"/>
          <w:szCs w:val="20"/>
        </w:rPr>
        <w:t>groups. In the development cohort, the proportio</w:t>
      </w:r>
      <w:r w:rsidRPr="009F3982">
        <w:rPr>
          <w:rFonts w:ascii="Arial" w:hAnsi="Arial" w:cs="Arial"/>
          <w:sz w:val="20"/>
          <w:szCs w:val="20"/>
        </w:rPr>
        <w:t>ns of contacts that developed tuberculosis</w:t>
      </w:r>
      <w:r w:rsidR="00D60360" w:rsidRPr="009F3982">
        <w:rPr>
          <w:rFonts w:ascii="Arial" w:hAnsi="Arial" w:cs="Arial"/>
          <w:sz w:val="20"/>
          <w:szCs w:val="20"/>
        </w:rPr>
        <w:t xml:space="preserve"> in each group </w:t>
      </w:r>
      <w:r w:rsidR="00294F79" w:rsidRPr="009F3982">
        <w:rPr>
          <w:rFonts w:ascii="Arial" w:hAnsi="Arial" w:cs="Arial"/>
          <w:sz w:val="20"/>
          <w:szCs w:val="20"/>
        </w:rPr>
        <w:t xml:space="preserve">were </w:t>
      </w:r>
      <w:r w:rsidRPr="009F3982">
        <w:rPr>
          <w:rFonts w:ascii="Arial" w:hAnsi="Arial" w:cs="Arial"/>
          <w:sz w:val="20"/>
          <w:szCs w:val="20"/>
        </w:rPr>
        <w:t>2.2%</w:t>
      </w:r>
      <w:r w:rsidR="006E5019" w:rsidRPr="009F3982">
        <w:rPr>
          <w:rFonts w:ascii="Arial" w:hAnsi="Arial" w:cs="Arial"/>
          <w:sz w:val="20"/>
          <w:szCs w:val="20"/>
        </w:rPr>
        <w:t xml:space="preserve"> (95%CI: 1.0-4.2)</w:t>
      </w:r>
      <w:r w:rsidRPr="009F3982">
        <w:rPr>
          <w:rFonts w:ascii="Arial" w:hAnsi="Arial" w:cs="Arial"/>
          <w:sz w:val="20"/>
          <w:szCs w:val="20"/>
        </w:rPr>
        <w:t xml:space="preserve">, </w:t>
      </w:r>
      <w:r w:rsidR="006E5019" w:rsidRPr="009F3982">
        <w:rPr>
          <w:rFonts w:ascii="Arial" w:hAnsi="Arial" w:cs="Arial"/>
          <w:sz w:val="20"/>
          <w:szCs w:val="20"/>
        </w:rPr>
        <w:t xml:space="preserve">7.7% (95%CI: 5.3-11) and 20% (95%CI: 15-26) </w:t>
      </w:r>
      <w:r w:rsidR="00D60360" w:rsidRPr="009F3982">
        <w:rPr>
          <w:rFonts w:ascii="Arial" w:hAnsi="Arial" w:cs="Arial"/>
          <w:sz w:val="20"/>
          <w:szCs w:val="20"/>
        </w:rPr>
        <w:t>respectively. In the validation cohort the</w:t>
      </w:r>
      <w:r w:rsidR="004A3D84" w:rsidRPr="009F3982">
        <w:rPr>
          <w:rFonts w:ascii="Arial" w:hAnsi="Arial" w:cs="Arial"/>
          <w:sz w:val="20"/>
          <w:szCs w:val="20"/>
        </w:rPr>
        <w:t xml:space="preserve"> co</w:t>
      </w:r>
      <w:r w:rsidR="006E5019" w:rsidRPr="009F3982">
        <w:rPr>
          <w:rFonts w:ascii="Arial" w:hAnsi="Arial" w:cs="Arial"/>
          <w:sz w:val="20"/>
          <w:szCs w:val="20"/>
        </w:rPr>
        <w:t>rresponding proportions were 3.8</w:t>
      </w:r>
      <w:r w:rsidR="004A3D84" w:rsidRPr="009F3982">
        <w:rPr>
          <w:rFonts w:ascii="Arial" w:hAnsi="Arial" w:cs="Arial"/>
          <w:sz w:val="20"/>
          <w:szCs w:val="20"/>
        </w:rPr>
        <w:t>%</w:t>
      </w:r>
      <w:r w:rsidR="006E5019" w:rsidRPr="009F3982">
        <w:rPr>
          <w:rFonts w:ascii="Arial" w:hAnsi="Arial" w:cs="Arial"/>
          <w:sz w:val="20"/>
          <w:szCs w:val="20"/>
        </w:rPr>
        <w:t xml:space="preserve"> (95%CI: 2.2-6.2)</w:t>
      </w:r>
      <w:r w:rsidR="004A3D84" w:rsidRPr="009F3982">
        <w:rPr>
          <w:rFonts w:ascii="Arial" w:hAnsi="Arial" w:cs="Arial"/>
          <w:sz w:val="20"/>
          <w:szCs w:val="20"/>
        </w:rPr>
        <w:t>, 7.1%</w:t>
      </w:r>
      <w:r w:rsidR="006E5019" w:rsidRPr="009F3982">
        <w:rPr>
          <w:rFonts w:ascii="Arial" w:hAnsi="Arial" w:cs="Arial"/>
          <w:sz w:val="20"/>
          <w:szCs w:val="20"/>
        </w:rPr>
        <w:t xml:space="preserve"> (95%CI: 6.0-12) and 17</w:t>
      </w:r>
      <w:r w:rsidR="004A3D84" w:rsidRPr="009F3982">
        <w:rPr>
          <w:rFonts w:ascii="Arial" w:hAnsi="Arial" w:cs="Arial"/>
          <w:sz w:val="20"/>
          <w:szCs w:val="20"/>
        </w:rPr>
        <w:t>%</w:t>
      </w:r>
      <w:r w:rsidR="006E5019" w:rsidRPr="009F3982">
        <w:rPr>
          <w:rFonts w:ascii="Arial" w:hAnsi="Arial" w:cs="Arial"/>
          <w:sz w:val="20"/>
          <w:szCs w:val="20"/>
        </w:rPr>
        <w:t xml:space="preserve"> (95%CI: 12-24)</w:t>
      </w:r>
      <w:r w:rsidR="004A3D84" w:rsidRPr="009F3982">
        <w:rPr>
          <w:rFonts w:ascii="Arial" w:hAnsi="Arial" w:cs="Arial"/>
          <w:sz w:val="20"/>
          <w:szCs w:val="20"/>
        </w:rPr>
        <w:t>. The C-statistic for the model was 0.74 in the development cohort and 0.70 in the validation cohort.</w:t>
      </w:r>
    </w:p>
    <w:p w14:paraId="23612E25" w14:textId="77777777" w:rsidR="00D75070" w:rsidRPr="009F3982" w:rsidRDefault="00D75070" w:rsidP="00D75070">
      <w:pPr>
        <w:spacing w:line="360" w:lineRule="auto"/>
        <w:rPr>
          <w:rFonts w:ascii="Arial" w:hAnsi="Arial" w:cs="Arial"/>
          <w:b/>
          <w:i/>
          <w:sz w:val="20"/>
          <w:szCs w:val="20"/>
        </w:rPr>
      </w:pPr>
    </w:p>
    <w:p w14:paraId="62341463" w14:textId="46C9803F" w:rsidR="00D75070" w:rsidRPr="009F3982" w:rsidRDefault="0074137D" w:rsidP="00D75070">
      <w:pPr>
        <w:spacing w:line="360" w:lineRule="auto"/>
        <w:rPr>
          <w:rFonts w:ascii="Arial" w:hAnsi="Arial" w:cs="Arial"/>
          <w:sz w:val="20"/>
          <w:szCs w:val="20"/>
        </w:rPr>
        <w:sectPr w:rsidR="00D75070" w:rsidRPr="009F3982" w:rsidSect="00D75070">
          <w:pgSz w:w="11900" w:h="16840"/>
          <w:pgMar w:top="1440" w:right="985" w:bottom="1440" w:left="1134" w:header="708" w:footer="708" w:gutter="0"/>
          <w:cols w:space="708"/>
          <w:docGrid w:linePitch="360"/>
        </w:sectPr>
      </w:pPr>
      <w:r w:rsidRPr="009F3982">
        <w:rPr>
          <w:rFonts w:ascii="Arial" w:hAnsi="Arial" w:cs="Arial"/>
          <w:b/>
          <w:sz w:val="20"/>
          <w:szCs w:val="20"/>
        </w:rPr>
        <w:t xml:space="preserve">CONCLUSION. </w:t>
      </w:r>
      <w:r w:rsidR="004A3D84" w:rsidRPr="009F3982">
        <w:rPr>
          <w:rFonts w:ascii="Arial" w:hAnsi="Arial" w:cs="Arial"/>
          <w:sz w:val="20"/>
          <w:szCs w:val="20"/>
        </w:rPr>
        <w:t xml:space="preserve">A risk score to predict </w:t>
      </w:r>
      <w:r w:rsidR="0077435D" w:rsidRPr="009F3982">
        <w:rPr>
          <w:rFonts w:ascii="Arial" w:hAnsi="Arial" w:cs="Arial"/>
          <w:sz w:val="20"/>
          <w:szCs w:val="20"/>
        </w:rPr>
        <w:t xml:space="preserve">tuberculosis was derived </w:t>
      </w:r>
      <w:r w:rsidR="004A3D84" w:rsidRPr="009F3982">
        <w:rPr>
          <w:rFonts w:ascii="Arial" w:hAnsi="Arial" w:cs="Arial"/>
          <w:sz w:val="20"/>
          <w:szCs w:val="20"/>
        </w:rPr>
        <w:t xml:space="preserve">and validated that could be used to target </w:t>
      </w:r>
      <w:r w:rsidRPr="009F3982">
        <w:rPr>
          <w:rFonts w:ascii="Arial" w:hAnsi="Arial" w:cs="Arial"/>
          <w:sz w:val="20"/>
          <w:szCs w:val="20"/>
        </w:rPr>
        <w:t>active case</w:t>
      </w:r>
      <w:r w:rsidR="00BE077A" w:rsidRPr="009F3982">
        <w:rPr>
          <w:rFonts w:ascii="Arial" w:hAnsi="Arial" w:cs="Arial"/>
          <w:sz w:val="20"/>
          <w:szCs w:val="20"/>
        </w:rPr>
        <w:t>-</w:t>
      </w:r>
      <w:r w:rsidRPr="009F3982">
        <w:rPr>
          <w:rFonts w:ascii="Arial" w:hAnsi="Arial" w:cs="Arial"/>
          <w:sz w:val="20"/>
          <w:szCs w:val="20"/>
        </w:rPr>
        <w:t>finding and preventative interventions</w:t>
      </w:r>
      <w:r w:rsidR="00BE077A" w:rsidRPr="009F3982">
        <w:rPr>
          <w:rFonts w:ascii="Arial" w:hAnsi="Arial" w:cs="Arial"/>
          <w:sz w:val="20"/>
          <w:szCs w:val="20"/>
        </w:rPr>
        <w:t>.</w:t>
      </w:r>
    </w:p>
    <w:p w14:paraId="3D4D9A4B" w14:textId="79FE5F61" w:rsidR="00A11B09" w:rsidRPr="009F3982" w:rsidRDefault="00A11B09" w:rsidP="00263973">
      <w:pPr>
        <w:jc w:val="center"/>
        <w:rPr>
          <w:rFonts w:ascii="Arial" w:hAnsi="Arial" w:cs="Arial"/>
          <w:b/>
          <w:noProof/>
          <w:sz w:val="20"/>
          <w:szCs w:val="20"/>
        </w:rPr>
      </w:pPr>
      <w:r w:rsidRPr="009F3982">
        <w:rPr>
          <w:rFonts w:ascii="Arial" w:hAnsi="Arial" w:cs="Arial"/>
          <w:b/>
          <w:noProof/>
          <w:sz w:val="20"/>
          <w:szCs w:val="20"/>
        </w:rPr>
        <w:lastRenderedPageBreak/>
        <w:t>INTRODUCTION</w:t>
      </w:r>
    </w:p>
    <w:p w14:paraId="53338190" w14:textId="77777777" w:rsidR="00A11B09" w:rsidRPr="009F3982" w:rsidRDefault="00A11B09" w:rsidP="00263973">
      <w:pPr>
        <w:jc w:val="center"/>
        <w:rPr>
          <w:rFonts w:ascii="Arial" w:hAnsi="Arial" w:cs="Arial"/>
          <w:b/>
          <w:noProof/>
          <w:sz w:val="20"/>
          <w:szCs w:val="20"/>
        </w:rPr>
      </w:pPr>
    </w:p>
    <w:p w14:paraId="604E19A2" w14:textId="77777777" w:rsidR="00A11B09" w:rsidRPr="009F3982" w:rsidRDefault="00A11B09" w:rsidP="00A11B09">
      <w:pPr>
        <w:rPr>
          <w:rFonts w:ascii="Arial" w:hAnsi="Arial"/>
          <w:sz w:val="20"/>
          <w:szCs w:val="20"/>
        </w:rPr>
      </w:pPr>
    </w:p>
    <w:p w14:paraId="11D7702D" w14:textId="687F4D0F" w:rsidR="000A4093" w:rsidRDefault="000A4093" w:rsidP="000A4093">
      <w:pPr>
        <w:spacing w:line="360" w:lineRule="auto"/>
        <w:rPr>
          <w:rFonts w:ascii="Arial" w:hAnsi="Arial"/>
          <w:sz w:val="21"/>
          <w:szCs w:val="21"/>
        </w:rPr>
      </w:pPr>
      <w:r w:rsidRPr="00074043">
        <w:rPr>
          <w:rFonts w:ascii="Arial" w:hAnsi="Arial"/>
          <w:sz w:val="21"/>
          <w:szCs w:val="21"/>
        </w:rPr>
        <w:t xml:space="preserve">Tuberculosis (TB) </w:t>
      </w:r>
      <w:r>
        <w:rPr>
          <w:rFonts w:ascii="Arial" w:hAnsi="Arial"/>
          <w:sz w:val="21"/>
          <w:szCs w:val="21"/>
        </w:rPr>
        <w:t>is responsible for persistent human suffering, causing illness in 9 million people in 2014 and killing 1.5 million of them. Infection and disease predominate amongst</w:t>
      </w:r>
      <w:r w:rsidR="0002481E">
        <w:rPr>
          <w:rFonts w:ascii="Arial" w:hAnsi="Arial"/>
          <w:sz w:val="21"/>
          <w:szCs w:val="21"/>
        </w:rPr>
        <w:t xml:space="preserve"> poor, hungry and marginalised</w:t>
      </w:r>
      <w:r w:rsidRPr="00074043">
        <w:rPr>
          <w:rFonts w:ascii="Arial" w:hAnsi="Arial"/>
          <w:sz w:val="21"/>
          <w:szCs w:val="21"/>
        </w:rPr>
        <w:t xml:space="preserve"> people</w:t>
      </w:r>
      <w:r>
        <w:rPr>
          <w:rFonts w:ascii="Arial" w:hAnsi="Arial"/>
          <w:sz w:val="21"/>
          <w:szCs w:val="21"/>
        </w:rPr>
        <w:t xml:space="preserve"> with</w:t>
      </w:r>
      <w:r w:rsidRPr="00074043">
        <w:rPr>
          <w:rFonts w:ascii="Arial" w:hAnsi="Arial"/>
          <w:sz w:val="21"/>
          <w:szCs w:val="21"/>
        </w:rPr>
        <w:t xml:space="preserve"> social </w:t>
      </w:r>
      <w:r w:rsidR="00DD1720">
        <w:rPr>
          <w:rFonts w:ascii="Arial" w:hAnsi="Arial"/>
          <w:sz w:val="21"/>
          <w:szCs w:val="21"/>
        </w:rPr>
        <w:t xml:space="preserve">and financial </w:t>
      </w:r>
      <w:r w:rsidRPr="00074043">
        <w:rPr>
          <w:rFonts w:ascii="Arial" w:hAnsi="Arial"/>
          <w:sz w:val="21"/>
          <w:szCs w:val="21"/>
        </w:rPr>
        <w:t>consequences that are often catastrophic for the patient, their family and their community. In order to meet the a</w:t>
      </w:r>
      <w:r>
        <w:rPr>
          <w:rFonts w:ascii="Arial" w:hAnsi="Arial"/>
          <w:sz w:val="21"/>
          <w:szCs w:val="21"/>
        </w:rPr>
        <w:t>mbitious</w:t>
      </w:r>
      <w:r w:rsidR="00AD1D94">
        <w:rPr>
          <w:rFonts w:ascii="Arial" w:hAnsi="Arial"/>
          <w:sz w:val="21"/>
          <w:szCs w:val="21"/>
        </w:rPr>
        <w:t xml:space="preserve"> elimination</w:t>
      </w:r>
      <w:r>
        <w:rPr>
          <w:rFonts w:ascii="Arial" w:hAnsi="Arial"/>
          <w:sz w:val="21"/>
          <w:szCs w:val="21"/>
        </w:rPr>
        <w:t xml:space="preserve"> targets set out in the </w:t>
      </w:r>
      <w:r w:rsidR="0002481E">
        <w:rPr>
          <w:rFonts w:ascii="Arial" w:hAnsi="Arial"/>
          <w:sz w:val="21"/>
          <w:szCs w:val="21"/>
        </w:rPr>
        <w:t>World Health Organization’s</w:t>
      </w:r>
      <w:r w:rsidR="00136DA1">
        <w:rPr>
          <w:rFonts w:ascii="Arial" w:hAnsi="Arial"/>
          <w:sz w:val="21"/>
          <w:szCs w:val="21"/>
        </w:rPr>
        <w:t xml:space="preserve"> (WHO)</w:t>
      </w:r>
      <w:r w:rsidR="0002481E">
        <w:rPr>
          <w:rFonts w:ascii="Arial" w:hAnsi="Arial"/>
          <w:sz w:val="21"/>
          <w:szCs w:val="21"/>
        </w:rPr>
        <w:t xml:space="preserve"> </w:t>
      </w:r>
      <w:r w:rsidR="00136DA1">
        <w:rPr>
          <w:rFonts w:ascii="Arial" w:hAnsi="Arial"/>
          <w:sz w:val="21"/>
          <w:szCs w:val="21"/>
        </w:rPr>
        <w:t xml:space="preserve">End </w:t>
      </w:r>
      <w:r w:rsidRPr="00074043">
        <w:rPr>
          <w:rFonts w:ascii="Arial" w:hAnsi="Arial"/>
          <w:sz w:val="21"/>
          <w:szCs w:val="21"/>
        </w:rPr>
        <w:t>TB strategy, bold emphasis must be placed on preventions aiming to address both direct and indirect TB risk factors</w:t>
      </w:r>
      <w:r w:rsidR="0002481E">
        <w:rPr>
          <w:rFonts w:ascii="Arial" w:hAnsi="Arial"/>
          <w:sz w:val="21"/>
          <w:szCs w:val="21"/>
        </w:rPr>
        <w:t>.</w:t>
      </w:r>
    </w:p>
    <w:p w14:paraId="104F5A09" w14:textId="77777777" w:rsidR="0002481E" w:rsidRDefault="0002481E" w:rsidP="000A4093">
      <w:pPr>
        <w:spacing w:line="360" w:lineRule="auto"/>
        <w:rPr>
          <w:rFonts w:ascii="Arial" w:hAnsi="Arial"/>
          <w:sz w:val="21"/>
          <w:szCs w:val="21"/>
        </w:rPr>
      </w:pPr>
    </w:p>
    <w:p w14:paraId="6A470C7A" w14:textId="1DB20FD5" w:rsidR="00D60A7F" w:rsidRDefault="00136DA1" w:rsidP="00D60A7F">
      <w:pPr>
        <w:spacing w:line="360" w:lineRule="auto"/>
        <w:rPr>
          <w:rFonts w:ascii="Arial" w:hAnsi="Arial"/>
          <w:sz w:val="21"/>
          <w:szCs w:val="21"/>
        </w:rPr>
      </w:pPr>
      <w:r>
        <w:rPr>
          <w:rFonts w:ascii="Arial" w:hAnsi="Arial"/>
          <w:sz w:val="21"/>
          <w:szCs w:val="21"/>
        </w:rPr>
        <w:t xml:space="preserve">Household contacts of </w:t>
      </w:r>
      <w:r w:rsidR="00CD403C">
        <w:rPr>
          <w:rFonts w:ascii="Arial" w:hAnsi="Arial"/>
          <w:sz w:val="21"/>
          <w:szCs w:val="21"/>
        </w:rPr>
        <w:t xml:space="preserve">“index” </w:t>
      </w:r>
      <w:r w:rsidR="00AD1D94">
        <w:rPr>
          <w:rFonts w:ascii="Arial" w:hAnsi="Arial"/>
          <w:sz w:val="21"/>
          <w:szCs w:val="21"/>
        </w:rPr>
        <w:t>TB cases</w:t>
      </w:r>
      <w:r>
        <w:rPr>
          <w:rFonts w:ascii="Arial" w:hAnsi="Arial"/>
          <w:sz w:val="21"/>
          <w:szCs w:val="21"/>
        </w:rPr>
        <w:t xml:space="preserve"> have a high risk of TB disease and represent an accessible group to which</w:t>
      </w:r>
      <w:r w:rsidR="009D7BD7">
        <w:rPr>
          <w:rFonts w:ascii="Arial" w:hAnsi="Arial"/>
          <w:sz w:val="21"/>
          <w:szCs w:val="21"/>
        </w:rPr>
        <w:t xml:space="preserve"> </w:t>
      </w:r>
      <w:r w:rsidR="00545374">
        <w:rPr>
          <w:rFonts w:ascii="Arial" w:hAnsi="Arial"/>
          <w:sz w:val="21"/>
          <w:szCs w:val="21"/>
        </w:rPr>
        <w:t xml:space="preserve">active case </w:t>
      </w:r>
      <w:r w:rsidR="009D7BD7">
        <w:rPr>
          <w:rFonts w:ascii="Arial" w:hAnsi="Arial"/>
          <w:sz w:val="21"/>
          <w:szCs w:val="21"/>
        </w:rPr>
        <w:t>finding and</w:t>
      </w:r>
      <w:r>
        <w:rPr>
          <w:rFonts w:ascii="Arial" w:hAnsi="Arial"/>
          <w:sz w:val="21"/>
          <w:szCs w:val="21"/>
        </w:rPr>
        <w:t xml:space="preserve"> preventative interventions can be targeted.</w:t>
      </w:r>
      <w:r w:rsidR="00D60A7F">
        <w:rPr>
          <w:rFonts w:ascii="Arial" w:hAnsi="Arial"/>
          <w:sz w:val="21"/>
          <w:szCs w:val="21"/>
        </w:rPr>
        <w:t xml:space="preserve"> In low- and middle- income countries such as Peru, the WHO recommend</w:t>
      </w:r>
      <w:r w:rsidR="00E51429">
        <w:rPr>
          <w:rFonts w:ascii="Arial" w:hAnsi="Arial"/>
          <w:sz w:val="21"/>
          <w:szCs w:val="21"/>
        </w:rPr>
        <w:t>s</w:t>
      </w:r>
      <w:r w:rsidR="00D60A7F">
        <w:rPr>
          <w:rFonts w:ascii="Arial" w:hAnsi="Arial"/>
          <w:sz w:val="21"/>
          <w:szCs w:val="21"/>
        </w:rPr>
        <w:t xml:space="preserve"> that contact investigation be conducted for household contacts of all index cases with pulmonary TB. </w:t>
      </w:r>
      <w:r w:rsidR="00566BE8">
        <w:rPr>
          <w:rFonts w:ascii="Arial" w:hAnsi="Arial"/>
          <w:sz w:val="21"/>
          <w:szCs w:val="21"/>
        </w:rPr>
        <w:t>This practice</w:t>
      </w:r>
      <w:r w:rsidR="00D60A7F">
        <w:rPr>
          <w:rFonts w:ascii="Arial" w:hAnsi="Arial"/>
          <w:sz w:val="21"/>
          <w:szCs w:val="21"/>
        </w:rPr>
        <w:t xml:space="preserve"> aims to: </w:t>
      </w:r>
      <w:proofErr w:type="spellStart"/>
      <w:r w:rsidR="00D60A7F">
        <w:rPr>
          <w:rFonts w:ascii="Arial" w:hAnsi="Arial"/>
          <w:sz w:val="21"/>
          <w:szCs w:val="21"/>
        </w:rPr>
        <w:t>i</w:t>
      </w:r>
      <w:proofErr w:type="spellEnd"/>
      <w:r w:rsidR="00D60A7F">
        <w:rPr>
          <w:rFonts w:ascii="Arial" w:hAnsi="Arial"/>
          <w:sz w:val="21"/>
          <w:szCs w:val="21"/>
        </w:rPr>
        <w:t xml:space="preserve">) </w:t>
      </w:r>
      <w:r w:rsidR="00976B95">
        <w:rPr>
          <w:rFonts w:ascii="Arial" w:hAnsi="Arial"/>
          <w:sz w:val="21"/>
          <w:szCs w:val="21"/>
        </w:rPr>
        <w:t xml:space="preserve">facilitate </w:t>
      </w:r>
      <w:r w:rsidR="00566BE8">
        <w:rPr>
          <w:rFonts w:ascii="Arial" w:hAnsi="Arial"/>
          <w:sz w:val="21"/>
          <w:szCs w:val="21"/>
        </w:rPr>
        <w:t xml:space="preserve">the </w:t>
      </w:r>
      <w:r w:rsidR="00545374">
        <w:rPr>
          <w:rFonts w:ascii="Arial" w:hAnsi="Arial"/>
          <w:sz w:val="21"/>
          <w:szCs w:val="21"/>
        </w:rPr>
        <w:t>early diagnosis</w:t>
      </w:r>
      <w:r w:rsidR="00976B95">
        <w:rPr>
          <w:rFonts w:ascii="Arial" w:hAnsi="Arial"/>
          <w:sz w:val="21"/>
          <w:szCs w:val="21"/>
        </w:rPr>
        <w:t xml:space="preserve"> of </w:t>
      </w:r>
      <w:r w:rsidR="00DD1720">
        <w:rPr>
          <w:rFonts w:ascii="Arial" w:hAnsi="Arial"/>
          <w:sz w:val="21"/>
          <w:szCs w:val="21"/>
        </w:rPr>
        <w:t xml:space="preserve">individuals with </w:t>
      </w:r>
      <w:r w:rsidR="00D60A7F">
        <w:rPr>
          <w:rFonts w:ascii="Arial" w:hAnsi="Arial"/>
          <w:sz w:val="21"/>
          <w:szCs w:val="21"/>
        </w:rPr>
        <w:t>TB disease in order to initiate treatment and prevent onward transmission</w:t>
      </w:r>
      <w:r w:rsidR="00566BE8">
        <w:rPr>
          <w:rFonts w:ascii="Arial" w:hAnsi="Arial"/>
          <w:sz w:val="21"/>
          <w:szCs w:val="21"/>
        </w:rPr>
        <w:t xml:space="preserve"> (active case finding)</w:t>
      </w:r>
      <w:r w:rsidR="00D60A7F">
        <w:rPr>
          <w:rFonts w:ascii="Arial" w:hAnsi="Arial"/>
          <w:sz w:val="21"/>
          <w:szCs w:val="21"/>
        </w:rPr>
        <w:t xml:space="preserve">; ii) identify contacts at high risk of </w:t>
      </w:r>
      <w:r w:rsidR="00976B95">
        <w:rPr>
          <w:rFonts w:ascii="Arial" w:hAnsi="Arial"/>
          <w:sz w:val="21"/>
          <w:szCs w:val="21"/>
        </w:rPr>
        <w:t xml:space="preserve">developing </w:t>
      </w:r>
      <w:r w:rsidR="00D60A7F">
        <w:rPr>
          <w:rFonts w:ascii="Arial" w:hAnsi="Arial"/>
          <w:sz w:val="21"/>
          <w:szCs w:val="21"/>
        </w:rPr>
        <w:t>TB disease in order to provide preventative therapy (chemoprophylaxis).</w:t>
      </w:r>
      <w:r w:rsidR="00976B95">
        <w:rPr>
          <w:rFonts w:ascii="Arial" w:hAnsi="Arial"/>
          <w:sz w:val="21"/>
          <w:szCs w:val="21"/>
        </w:rPr>
        <w:t xml:space="preserve"> In Peru, the National TB Program (NTP) struggles to treat and cure all</w:t>
      </w:r>
      <w:r w:rsidR="00186A84">
        <w:rPr>
          <w:rFonts w:ascii="Arial" w:hAnsi="Arial"/>
          <w:sz w:val="21"/>
          <w:szCs w:val="21"/>
        </w:rPr>
        <w:t xml:space="preserve"> TB</w:t>
      </w:r>
      <w:r w:rsidR="00976B95">
        <w:rPr>
          <w:rFonts w:ascii="Arial" w:hAnsi="Arial"/>
          <w:sz w:val="21"/>
          <w:szCs w:val="21"/>
        </w:rPr>
        <w:t xml:space="preserve"> patients leaving f</w:t>
      </w:r>
      <w:r w:rsidR="00DD1720">
        <w:rPr>
          <w:rFonts w:ascii="Arial" w:hAnsi="Arial"/>
          <w:sz w:val="21"/>
          <w:szCs w:val="21"/>
        </w:rPr>
        <w:t xml:space="preserve">ew resources available for active case </w:t>
      </w:r>
      <w:r w:rsidR="00976B95">
        <w:rPr>
          <w:rFonts w:ascii="Arial" w:hAnsi="Arial"/>
          <w:sz w:val="21"/>
          <w:szCs w:val="21"/>
        </w:rPr>
        <w:t>finding and prevention</w:t>
      </w:r>
      <w:r w:rsidR="00186A84">
        <w:rPr>
          <w:rFonts w:ascii="Arial" w:hAnsi="Arial"/>
          <w:sz w:val="21"/>
          <w:szCs w:val="21"/>
        </w:rPr>
        <w:t xml:space="preserve"> among household contacts</w:t>
      </w:r>
      <w:r w:rsidR="00976B95">
        <w:rPr>
          <w:rFonts w:ascii="Arial" w:hAnsi="Arial"/>
          <w:sz w:val="21"/>
          <w:szCs w:val="21"/>
        </w:rPr>
        <w:t xml:space="preserve">. </w:t>
      </w:r>
      <w:r w:rsidR="00DD1720">
        <w:rPr>
          <w:rFonts w:ascii="Arial" w:hAnsi="Arial"/>
          <w:sz w:val="21"/>
          <w:szCs w:val="21"/>
        </w:rPr>
        <w:t xml:space="preserve">Furthermore, tests for latent </w:t>
      </w:r>
      <w:r w:rsidR="00545374">
        <w:rPr>
          <w:rFonts w:ascii="Arial" w:hAnsi="Arial"/>
          <w:sz w:val="21"/>
          <w:szCs w:val="21"/>
        </w:rPr>
        <w:t>TB</w:t>
      </w:r>
      <w:r w:rsidR="00DD1720">
        <w:rPr>
          <w:rFonts w:ascii="Arial" w:hAnsi="Arial"/>
          <w:sz w:val="21"/>
          <w:szCs w:val="21"/>
        </w:rPr>
        <w:t xml:space="preserve"> infection</w:t>
      </w:r>
      <w:r w:rsidR="00545374">
        <w:rPr>
          <w:rFonts w:ascii="Arial" w:hAnsi="Arial"/>
          <w:sz w:val="21"/>
          <w:szCs w:val="21"/>
        </w:rPr>
        <w:t xml:space="preserve"> are unreliable and currently unavailable </w:t>
      </w:r>
      <w:r w:rsidR="00DD1720">
        <w:rPr>
          <w:rFonts w:ascii="Arial" w:hAnsi="Arial"/>
          <w:sz w:val="21"/>
          <w:szCs w:val="21"/>
        </w:rPr>
        <w:t>making it difficu</w:t>
      </w:r>
      <w:r w:rsidR="00186A84">
        <w:rPr>
          <w:rFonts w:ascii="Arial" w:hAnsi="Arial"/>
          <w:sz w:val="21"/>
          <w:szCs w:val="21"/>
        </w:rPr>
        <w:t xml:space="preserve">lt for prescribers to assess who is </w:t>
      </w:r>
      <w:r w:rsidR="00DD1720">
        <w:rPr>
          <w:rFonts w:ascii="Arial" w:hAnsi="Arial"/>
          <w:sz w:val="21"/>
          <w:szCs w:val="21"/>
        </w:rPr>
        <w:t>most likely to benefit from chemoprophylaxis. In its latest annual report, the WHO is clear that intensified efforts are needed</w:t>
      </w:r>
      <w:r w:rsidR="00186A84">
        <w:rPr>
          <w:rFonts w:ascii="Arial" w:hAnsi="Arial"/>
          <w:sz w:val="21"/>
          <w:szCs w:val="21"/>
        </w:rPr>
        <w:t xml:space="preserve"> to prioritise TB prevention</w:t>
      </w:r>
      <w:r w:rsidR="00DD1720">
        <w:rPr>
          <w:rFonts w:ascii="Arial" w:hAnsi="Arial"/>
          <w:sz w:val="21"/>
          <w:szCs w:val="21"/>
        </w:rPr>
        <w:t xml:space="preserve"> </w:t>
      </w:r>
      <w:r w:rsidR="00E51429">
        <w:rPr>
          <w:rFonts w:ascii="Arial" w:hAnsi="Arial"/>
          <w:sz w:val="21"/>
          <w:szCs w:val="21"/>
        </w:rPr>
        <w:t>practices</w:t>
      </w:r>
      <w:r w:rsidR="00DD1720">
        <w:rPr>
          <w:rFonts w:ascii="Arial" w:hAnsi="Arial"/>
          <w:sz w:val="21"/>
          <w:szCs w:val="21"/>
        </w:rPr>
        <w:t xml:space="preserve"> </w:t>
      </w:r>
      <w:r w:rsidR="00E51429">
        <w:rPr>
          <w:rFonts w:ascii="Arial" w:hAnsi="Arial"/>
          <w:sz w:val="21"/>
          <w:szCs w:val="21"/>
        </w:rPr>
        <w:t xml:space="preserve">to </w:t>
      </w:r>
      <w:r w:rsidR="00DD1720">
        <w:rPr>
          <w:rFonts w:ascii="Arial" w:hAnsi="Arial"/>
          <w:sz w:val="21"/>
          <w:szCs w:val="21"/>
        </w:rPr>
        <w:t>populations at highest risk. In</w:t>
      </w:r>
      <w:r w:rsidR="00566BE8">
        <w:rPr>
          <w:rFonts w:ascii="Arial" w:hAnsi="Arial"/>
          <w:sz w:val="21"/>
          <w:szCs w:val="21"/>
        </w:rPr>
        <w:t xml:space="preserve"> resource</w:t>
      </w:r>
      <w:r w:rsidR="00DD1720">
        <w:rPr>
          <w:rFonts w:ascii="Arial" w:hAnsi="Arial"/>
          <w:sz w:val="21"/>
          <w:szCs w:val="21"/>
        </w:rPr>
        <w:t>-constrained setting</w:t>
      </w:r>
      <w:r w:rsidR="00E51429">
        <w:rPr>
          <w:rFonts w:ascii="Arial" w:hAnsi="Arial"/>
          <w:sz w:val="21"/>
          <w:szCs w:val="21"/>
        </w:rPr>
        <w:t>s</w:t>
      </w:r>
      <w:r w:rsidR="00566BE8">
        <w:rPr>
          <w:rFonts w:ascii="Arial" w:hAnsi="Arial"/>
          <w:sz w:val="21"/>
          <w:szCs w:val="21"/>
        </w:rPr>
        <w:t>,</w:t>
      </w:r>
      <w:r w:rsidR="00DD1720">
        <w:rPr>
          <w:rFonts w:ascii="Arial" w:hAnsi="Arial"/>
          <w:sz w:val="21"/>
          <w:szCs w:val="21"/>
        </w:rPr>
        <w:t xml:space="preserve"> </w:t>
      </w:r>
      <w:r w:rsidR="00186A84">
        <w:rPr>
          <w:rFonts w:ascii="Arial" w:hAnsi="Arial"/>
          <w:sz w:val="21"/>
          <w:szCs w:val="21"/>
        </w:rPr>
        <w:t>operational evidence is</w:t>
      </w:r>
      <w:r w:rsidR="00DD1720">
        <w:rPr>
          <w:rFonts w:ascii="Arial" w:hAnsi="Arial"/>
          <w:sz w:val="21"/>
          <w:szCs w:val="21"/>
        </w:rPr>
        <w:t xml:space="preserve"> required to identify </w:t>
      </w:r>
      <w:r w:rsidR="00566BE8">
        <w:rPr>
          <w:rFonts w:ascii="Arial" w:hAnsi="Arial"/>
          <w:sz w:val="21"/>
          <w:szCs w:val="21"/>
        </w:rPr>
        <w:t xml:space="preserve">how these policies can be most effectively and efficiently delivered to maximise </w:t>
      </w:r>
      <w:r w:rsidR="00186A84">
        <w:rPr>
          <w:rFonts w:ascii="Arial" w:hAnsi="Arial"/>
          <w:sz w:val="21"/>
          <w:szCs w:val="21"/>
        </w:rPr>
        <w:t>their benefit.</w:t>
      </w:r>
      <w:r w:rsidR="00DD1720">
        <w:rPr>
          <w:rFonts w:ascii="Arial" w:hAnsi="Arial"/>
          <w:sz w:val="21"/>
          <w:szCs w:val="21"/>
        </w:rPr>
        <w:t xml:space="preserve"> </w:t>
      </w:r>
    </w:p>
    <w:p w14:paraId="70997F77" w14:textId="77777777" w:rsidR="00D60A7F" w:rsidRDefault="00D60A7F" w:rsidP="00D60A7F">
      <w:pPr>
        <w:spacing w:line="360" w:lineRule="auto"/>
        <w:rPr>
          <w:rFonts w:ascii="Arial" w:hAnsi="Arial"/>
          <w:sz w:val="21"/>
          <w:szCs w:val="21"/>
        </w:rPr>
      </w:pPr>
    </w:p>
    <w:p w14:paraId="36362E61" w14:textId="03FCEEC2" w:rsidR="00AD1D94" w:rsidRDefault="00DD1720" w:rsidP="00B17E1C">
      <w:pPr>
        <w:spacing w:line="360" w:lineRule="auto"/>
        <w:rPr>
          <w:rFonts w:ascii="Arial" w:hAnsi="Arial"/>
          <w:sz w:val="21"/>
          <w:szCs w:val="21"/>
        </w:rPr>
      </w:pPr>
      <w:r>
        <w:rPr>
          <w:rFonts w:ascii="Arial" w:hAnsi="Arial"/>
          <w:sz w:val="21"/>
          <w:szCs w:val="21"/>
        </w:rPr>
        <w:t xml:space="preserve">Risk of </w:t>
      </w:r>
      <w:r w:rsidR="00136DA1">
        <w:rPr>
          <w:rFonts w:ascii="Arial" w:hAnsi="Arial"/>
          <w:sz w:val="21"/>
          <w:szCs w:val="21"/>
        </w:rPr>
        <w:t xml:space="preserve">TB infection and subsequent </w:t>
      </w:r>
      <w:r w:rsidR="00CD403C">
        <w:rPr>
          <w:rFonts w:ascii="Arial" w:hAnsi="Arial"/>
          <w:sz w:val="21"/>
          <w:szCs w:val="21"/>
        </w:rPr>
        <w:t xml:space="preserve">progression to TB disease among </w:t>
      </w:r>
      <w:r w:rsidR="00186A84">
        <w:rPr>
          <w:rFonts w:ascii="Arial" w:hAnsi="Arial"/>
          <w:sz w:val="21"/>
          <w:szCs w:val="21"/>
        </w:rPr>
        <w:t xml:space="preserve">household </w:t>
      </w:r>
      <w:r w:rsidR="00CD403C">
        <w:rPr>
          <w:rFonts w:ascii="Arial" w:hAnsi="Arial"/>
          <w:sz w:val="21"/>
          <w:szCs w:val="21"/>
        </w:rPr>
        <w:t xml:space="preserve">contacts are </w:t>
      </w:r>
      <w:r w:rsidR="00566BE8">
        <w:rPr>
          <w:rFonts w:ascii="Arial" w:hAnsi="Arial"/>
          <w:sz w:val="21"/>
          <w:szCs w:val="21"/>
        </w:rPr>
        <w:t>associated with:</w:t>
      </w:r>
      <w:r w:rsidR="00CD403C">
        <w:rPr>
          <w:rFonts w:ascii="Arial" w:hAnsi="Arial"/>
          <w:sz w:val="21"/>
          <w:szCs w:val="21"/>
        </w:rPr>
        <w:t xml:space="preserve"> </w:t>
      </w:r>
      <w:r w:rsidR="00CD403C" w:rsidRPr="00CD403C">
        <w:rPr>
          <w:rFonts w:ascii="Arial" w:hAnsi="Arial"/>
          <w:i/>
          <w:sz w:val="21"/>
          <w:szCs w:val="21"/>
        </w:rPr>
        <w:t>index</w:t>
      </w:r>
      <w:r w:rsidR="009D7BD7">
        <w:rPr>
          <w:rFonts w:ascii="Arial" w:hAnsi="Arial"/>
          <w:i/>
          <w:sz w:val="21"/>
          <w:szCs w:val="21"/>
        </w:rPr>
        <w:t xml:space="preserve"> case</w:t>
      </w:r>
      <w:r w:rsidR="00CD403C" w:rsidRPr="00CD403C">
        <w:rPr>
          <w:rFonts w:ascii="Arial" w:hAnsi="Arial"/>
          <w:i/>
          <w:sz w:val="21"/>
          <w:szCs w:val="21"/>
        </w:rPr>
        <w:t xml:space="preserve"> factors</w:t>
      </w:r>
      <w:r w:rsidR="00CD403C">
        <w:rPr>
          <w:rFonts w:ascii="Arial" w:hAnsi="Arial"/>
          <w:sz w:val="21"/>
          <w:szCs w:val="21"/>
        </w:rPr>
        <w:t xml:space="preserve">: demographics, smear positivity, </w:t>
      </w:r>
      <w:r w:rsidR="00D60A7F">
        <w:rPr>
          <w:rFonts w:ascii="Arial" w:hAnsi="Arial"/>
          <w:sz w:val="21"/>
          <w:szCs w:val="21"/>
        </w:rPr>
        <w:t xml:space="preserve">cavitary disease, </w:t>
      </w:r>
      <w:r w:rsidR="00CD403C">
        <w:rPr>
          <w:rFonts w:ascii="Arial" w:hAnsi="Arial"/>
          <w:sz w:val="21"/>
          <w:szCs w:val="21"/>
        </w:rPr>
        <w:t>drug resistance,</w:t>
      </w:r>
      <w:r w:rsidR="009D7BD7">
        <w:rPr>
          <w:rFonts w:ascii="Arial" w:hAnsi="Arial"/>
          <w:sz w:val="21"/>
          <w:szCs w:val="21"/>
        </w:rPr>
        <w:t xml:space="preserve"> </w:t>
      </w:r>
      <w:r w:rsidR="00D60A7F">
        <w:rPr>
          <w:rFonts w:ascii="Arial" w:hAnsi="Arial"/>
          <w:sz w:val="21"/>
          <w:szCs w:val="21"/>
        </w:rPr>
        <w:t xml:space="preserve">strain, </w:t>
      </w:r>
      <w:r w:rsidR="009D7BD7">
        <w:rPr>
          <w:rFonts w:ascii="Arial" w:hAnsi="Arial"/>
          <w:sz w:val="21"/>
          <w:szCs w:val="21"/>
        </w:rPr>
        <w:t>symptom duration and</w:t>
      </w:r>
      <w:r w:rsidR="00CD403C">
        <w:rPr>
          <w:rFonts w:ascii="Arial" w:hAnsi="Arial"/>
          <w:sz w:val="21"/>
          <w:szCs w:val="21"/>
        </w:rPr>
        <w:t xml:space="preserve"> smoking; </w:t>
      </w:r>
      <w:r w:rsidR="00CD403C" w:rsidRPr="00CD403C">
        <w:rPr>
          <w:rFonts w:ascii="Arial" w:hAnsi="Arial"/>
          <w:i/>
          <w:sz w:val="21"/>
          <w:szCs w:val="21"/>
        </w:rPr>
        <w:t>household factors</w:t>
      </w:r>
      <w:r w:rsidR="00CD403C">
        <w:rPr>
          <w:rFonts w:ascii="Arial" w:hAnsi="Arial"/>
          <w:sz w:val="21"/>
          <w:szCs w:val="21"/>
        </w:rPr>
        <w:t xml:space="preserve">: socioeconomic position, food insecurity, crowding, exposure to pollution and poor ventilation; and </w:t>
      </w:r>
      <w:r w:rsidR="00CD403C" w:rsidRPr="00CD403C">
        <w:rPr>
          <w:rFonts w:ascii="Arial" w:hAnsi="Arial"/>
          <w:i/>
          <w:sz w:val="21"/>
          <w:szCs w:val="21"/>
        </w:rPr>
        <w:t>contact factors</w:t>
      </w:r>
      <w:r w:rsidR="009D7BD7">
        <w:rPr>
          <w:rFonts w:ascii="Arial" w:hAnsi="Arial"/>
          <w:sz w:val="21"/>
          <w:szCs w:val="21"/>
        </w:rPr>
        <w:t>: demographics,</w:t>
      </w:r>
      <w:r w:rsidR="00D60A7F">
        <w:rPr>
          <w:rFonts w:ascii="Arial" w:hAnsi="Arial"/>
          <w:sz w:val="21"/>
          <w:szCs w:val="21"/>
        </w:rPr>
        <w:t xml:space="preserve"> genetics,</w:t>
      </w:r>
      <w:r w:rsidR="009D7BD7">
        <w:rPr>
          <w:rFonts w:ascii="Arial" w:hAnsi="Arial"/>
          <w:sz w:val="21"/>
          <w:szCs w:val="21"/>
        </w:rPr>
        <w:t xml:space="preserve"> poor nutrition</w:t>
      </w:r>
      <w:r w:rsidR="00CD403C">
        <w:rPr>
          <w:rFonts w:ascii="Arial" w:hAnsi="Arial"/>
          <w:sz w:val="21"/>
          <w:szCs w:val="21"/>
        </w:rPr>
        <w:t>, previous TB,</w:t>
      </w:r>
      <w:r w:rsidR="009D7BD7">
        <w:rPr>
          <w:rFonts w:ascii="Arial" w:hAnsi="Arial"/>
          <w:sz w:val="21"/>
          <w:szCs w:val="21"/>
        </w:rPr>
        <w:t xml:space="preserve"> BCG vaccine,</w:t>
      </w:r>
      <w:r w:rsidR="00CD403C">
        <w:rPr>
          <w:rFonts w:ascii="Arial" w:hAnsi="Arial"/>
          <w:sz w:val="21"/>
          <w:szCs w:val="21"/>
        </w:rPr>
        <w:t xml:space="preserve"> comorbidities, </w:t>
      </w:r>
      <w:r w:rsidR="00D60A7F">
        <w:rPr>
          <w:rFonts w:ascii="Arial" w:hAnsi="Arial"/>
          <w:sz w:val="21"/>
          <w:szCs w:val="21"/>
        </w:rPr>
        <w:t xml:space="preserve">duration of </w:t>
      </w:r>
      <w:r w:rsidR="00CD403C">
        <w:rPr>
          <w:rFonts w:ascii="Arial" w:hAnsi="Arial"/>
          <w:sz w:val="21"/>
          <w:szCs w:val="21"/>
        </w:rPr>
        <w:t>exposure to the index</w:t>
      </w:r>
      <w:r w:rsidR="009D7BD7">
        <w:rPr>
          <w:rFonts w:ascii="Arial" w:hAnsi="Arial"/>
          <w:sz w:val="21"/>
          <w:szCs w:val="21"/>
        </w:rPr>
        <w:t xml:space="preserve"> case</w:t>
      </w:r>
      <w:r w:rsidR="00CD403C">
        <w:rPr>
          <w:rFonts w:ascii="Arial" w:hAnsi="Arial"/>
          <w:sz w:val="21"/>
          <w:szCs w:val="21"/>
        </w:rPr>
        <w:t>, smoking, alcohol abuse, drug abuse and exposure to TB outside of the household.</w:t>
      </w:r>
      <w:r w:rsidR="00AD1D94">
        <w:rPr>
          <w:rFonts w:ascii="Arial" w:hAnsi="Arial"/>
          <w:sz w:val="21"/>
          <w:szCs w:val="21"/>
        </w:rPr>
        <w:t xml:space="preserve"> </w:t>
      </w:r>
      <w:r w:rsidR="00976B95">
        <w:rPr>
          <w:rFonts w:ascii="Arial" w:hAnsi="Arial"/>
          <w:sz w:val="21"/>
          <w:szCs w:val="21"/>
        </w:rPr>
        <w:t xml:space="preserve">As part of a randomised controlled trial evaluating micronutrient supplementation to prevent TB in household contacts we aimed to </w:t>
      </w:r>
      <w:r w:rsidR="00566BE8">
        <w:rPr>
          <w:rFonts w:ascii="Arial" w:hAnsi="Arial"/>
          <w:sz w:val="21"/>
          <w:szCs w:val="21"/>
        </w:rPr>
        <w:t xml:space="preserve">prospectively </w:t>
      </w:r>
      <w:r w:rsidR="00976B95">
        <w:rPr>
          <w:rFonts w:ascii="Arial" w:hAnsi="Arial"/>
          <w:sz w:val="21"/>
          <w:szCs w:val="21"/>
        </w:rPr>
        <w:t>ch</w:t>
      </w:r>
      <w:r w:rsidR="00545374">
        <w:rPr>
          <w:rFonts w:ascii="Arial" w:hAnsi="Arial"/>
          <w:sz w:val="21"/>
          <w:szCs w:val="21"/>
        </w:rPr>
        <w:t xml:space="preserve">aracterise risk factors for </w:t>
      </w:r>
      <w:r w:rsidR="00976B95">
        <w:rPr>
          <w:rFonts w:ascii="Arial" w:hAnsi="Arial"/>
          <w:sz w:val="21"/>
          <w:szCs w:val="21"/>
        </w:rPr>
        <w:t>developing TB disease</w:t>
      </w:r>
      <w:r w:rsidR="00186A84">
        <w:rPr>
          <w:rFonts w:ascii="Arial" w:hAnsi="Arial"/>
          <w:sz w:val="21"/>
          <w:szCs w:val="21"/>
        </w:rPr>
        <w:t>. We subsequently aimed to</w:t>
      </w:r>
      <w:r w:rsidR="00976B95">
        <w:rPr>
          <w:rFonts w:ascii="Arial" w:hAnsi="Arial"/>
          <w:sz w:val="21"/>
          <w:szCs w:val="21"/>
        </w:rPr>
        <w:t xml:space="preserve"> </w:t>
      </w:r>
      <w:r w:rsidR="00186A84">
        <w:rPr>
          <w:rFonts w:ascii="Arial" w:hAnsi="Arial"/>
          <w:sz w:val="21"/>
          <w:szCs w:val="21"/>
        </w:rPr>
        <w:t>create a TB risk score</w:t>
      </w:r>
      <w:r w:rsidR="00566BE8">
        <w:rPr>
          <w:rFonts w:ascii="Arial" w:hAnsi="Arial"/>
          <w:sz w:val="21"/>
          <w:szCs w:val="21"/>
        </w:rPr>
        <w:t xml:space="preserve"> </w:t>
      </w:r>
      <w:r w:rsidR="00186A84">
        <w:rPr>
          <w:rFonts w:ascii="Arial" w:hAnsi="Arial"/>
          <w:sz w:val="21"/>
          <w:szCs w:val="21"/>
        </w:rPr>
        <w:t>that could be used to target active case finding and chemoprophylaxis to adult househo</w:t>
      </w:r>
      <w:bookmarkStart w:id="0" w:name="_GoBack"/>
      <w:bookmarkEnd w:id="0"/>
      <w:r w:rsidR="00186A84">
        <w:rPr>
          <w:rFonts w:ascii="Arial" w:hAnsi="Arial"/>
          <w:sz w:val="21"/>
          <w:szCs w:val="21"/>
        </w:rPr>
        <w:t>ld contacts at highest risk.</w:t>
      </w:r>
    </w:p>
    <w:p w14:paraId="113192B8" w14:textId="77777777" w:rsidR="009D7BD7" w:rsidRDefault="009D7BD7" w:rsidP="00B17E1C">
      <w:pPr>
        <w:spacing w:line="360" w:lineRule="auto"/>
        <w:rPr>
          <w:rFonts w:ascii="Arial" w:hAnsi="Arial"/>
          <w:sz w:val="21"/>
          <w:szCs w:val="21"/>
        </w:rPr>
      </w:pPr>
    </w:p>
    <w:p w14:paraId="17505C07" w14:textId="77777777" w:rsidR="00AD1D94" w:rsidRDefault="00AD1D94" w:rsidP="00B17E1C">
      <w:pPr>
        <w:spacing w:line="360" w:lineRule="auto"/>
        <w:rPr>
          <w:rFonts w:ascii="Arial" w:hAnsi="Arial"/>
          <w:sz w:val="21"/>
          <w:szCs w:val="21"/>
        </w:rPr>
      </w:pPr>
    </w:p>
    <w:p w14:paraId="57EA391D" w14:textId="77777777" w:rsidR="00B17E1C" w:rsidRDefault="00B17E1C" w:rsidP="00B17E1C">
      <w:pPr>
        <w:spacing w:line="360" w:lineRule="auto"/>
        <w:rPr>
          <w:rFonts w:ascii="Arial" w:hAnsi="Arial"/>
          <w:sz w:val="21"/>
          <w:szCs w:val="21"/>
        </w:rPr>
      </w:pPr>
    </w:p>
    <w:p w14:paraId="6A68CDB1" w14:textId="77777777" w:rsidR="00545374" w:rsidRDefault="00545374" w:rsidP="00B17E1C">
      <w:pPr>
        <w:spacing w:line="360" w:lineRule="auto"/>
        <w:rPr>
          <w:rFonts w:ascii="Arial" w:hAnsi="Arial"/>
          <w:sz w:val="21"/>
          <w:szCs w:val="21"/>
        </w:rPr>
      </w:pPr>
    </w:p>
    <w:p w14:paraId="340478AB" w14:textId="77777777" w:rsidR="00566BE8" w:rsidRDefault="00566BE8" w:rsidP="00B17E1C">
      <w:pPr>
        <w:spacing w:line="360" w:lineRule="auto"/>
        <w:rPr>
          <w:rFonts w:ascii="Arial" w:hAnsi="Arial"/>
          <w:sz w:val="21"/>
          <w:szCs w:val="21"/>
        </w:rPr>
      </w:pPr>
    </w:p>
    <w:p w14:paraId="51A7E14E" w14:textId="77777777" w:rsidR="00545374" w:rsidRDefault="00545374" w:rsidP="00B17E1C">
      <w:pPr>
        <w:spacing w:line="360" w:lineRule="auto"/>
        <w:rPr>
          <w:rFonts w:ascii="Arial" w:hAnsi="Arial"/>
          <w:sz w:val="21"/>
          <w:szCs w:val="21"/>
        </w:rPr>
      </w:pPr>
    </w:p>
    <w:p w14:paraId="02FEF6BB" w14:textId="7BCBE3AC" w:rsidR="00B55321" w:rsidRPr="009F3982" w:rsidRDefault="00263973" w:rsidP="00B17E1C">
      <w:pPr>
        <w:spacing w:line="360" w:lineRule="auto"/>
        <w:rPr>
          <w:rFonts w:ascii="Arial" w:hAnsi="Arial" w:cs="Arial"/>
          <w:b/>
          <w:noProof/>
          <w:sz w:val="20"/>
          <w:szCs w:val="20"/>
        </w:rPr>
      </w:pPr>
      <w:r w:rsidRPr="009F3982">
        <w:rPr>
          <w:rFonts w:ascii="Arial" w:hAnsi="Arial" w:cs="Arial"/>
          <w:b/>
          <w:noProof/>
          <w:sz w:val="20"/>
          <w:szCs w:val="20"/>
        </w:rPr>
        <w:t>METHODS</w:t>
      </w:r>
    </w:p>
    <w:p w14:paraId="2E85140B" w14:textId="77777777" w:rsidR="00263973" w:rsidRPr="009F3982" w:rsidRDefault="00263973" w:rsidP="00263973">
      <w:pPr>
        <w:jc w:val="center"/>
        <w:rPr>
          <w:rFonts w:ascii="Arial" w:hAnsi="Arial" w:cs="Arial"/>
          <w:b/>
          <w:noProof/>
          <w:sz w:val="20"/>
          <w:szCs w:val="20"/>
        </w:rPr>
      </w:pPr>
    </w:p>
    <w:p w14:paraId="345D4138" w14:textId="77777777" w:rsidR="00263973" w:rsidRPr="009F3982" w:rsidRDefault="00263973" w:rsidP="00263973">
      <w:pPr>
        <w:jc w:val="center"/>
        <w:rPr>
          <w:rFonts w:ascii="Arial" w:hAnsi="Arial" w:cs="Arial"/>
          <w:b/>
          <w:noProof/>
          <w:sz w:val="20"/>
          <w:szCs w:val="20"/>
        </w:rPr>
      </w:pPr>
    </w:p>
    <w:p w14:paraId="425EA4AA" w14:textId="6D2E4D98" w:rsidR="00263973" w:rsidRPr="009F3982" w:rsidRDefault="009755D0" w:rsidP="00263973">
      <w:pPr>
        <w:spacing w:line="360" w:lineRule="auto"/>
        <w:rPr>
          <w:rFonts w:ascii="Arial" w:hAnsi="Arial" w:cs="Arial"/>
          <w:color w:val="0E0E0E"/>
          <w:sz w:val="20"/>
          <w:szCs w:val="20"/>
        </w:rPr>
      </w:pPr>
      <w:r w:rsidRPr="009F3982">
        <w:rPr>
          <w:rFonts w:ascii="Arial" w:hAnsi="Arial" w:cs="Arial"/>
          <w:b/>
          <w:color w:val="0E0E0E"/>
          <w:sz w:val="20"/>
          <w:szCs w:val="20"/>
        </w:rPr>
        <w:t>Design.</w:t>
      </w:r>
      <w:r w:rsidR="00263973" w:rsidRPr="009F3982">
        <w:rPr>
          <w:rFonts w:ascii="Arial" w:hAnsi="Arial" w:cs="Arial"/>
          <w:b/>
          <w:color w:val="0E0E0E"/>
          <w:sz w:val="20"/>
          <w:szCs w:val="20"/>
        </w:rPr>
        <w:t xml:space="preserve"> </w:t>
      </w:r>
      <w:proofErr w:type="gramStart"/>
      <w:r w:rsidR="00263973" w:rsidRPr="009F3982">
        <w:rPr>
          <w:rFonts w:ascii="Arial" w:hAnsi="Arial" w:cs="Arial"/>
          <w:color w:val="0E0E0E"/>
          <w:sz w:val="20"/>
          <w:szCs w:val="20"/>
        </w:rPr>
        <w:t>A prospective cohort study</w:t>
      </w:r>
      <w:r w:rsidR="004F4EBF" w:rsidRPr="009F3982">
        <w:rPr>
          <w:rFonts w:ascii="Arial" w:hAnsi="Arial" w:cs="Arial"/>
          <w:color w:val="0E0E0E"/>
          <w:sz w:val="20"/>
          <w:szCs w:val="20"/>
        </w:rPr>
        <w:t xml:space="preserve"> of ho</w:t>
      </w:r>
      <w:r w:rsidR="00545374">
        <w:rPr>
          <w:rFonts w:ascii="Arial" w:hAnsi="Arial" w:cs="Arial"/>
          <w:color w:val="0E0E0E"/>
          <w:sz w:val="20"/>
          <w:szCs w:val="20"/>
        </w:rPr>
        <w:t>usehold contacts of TB patients embedded within a randomised controlled trial.</w:t>
      </w:r>
      <w:proofErr w:type="gramEnd"/>
    </w:p>
    <w:p w14:paraId="43DFF037" w14:textId="77777777" w:rsidR="00263973" w:rsidRPr="009F3982" w:rsidRDefault="00263973" w:rsidP="00263973">
      <w:pPr>
        <w:spacing w:line="360" w:lineRule="auto"/>
        <w:rPr>
          <w:rFonts w:ascii="Arial" w:hAnsi="Arial" w:cs="Arial"/>
          <w:b/>
          <w:color w:val="0E0E0E"/>
          <w:sz w:val="20"/>
          <w:szCs w:val="20"/>
        </w:rPr>
      </w:pPr>
    </w:p>
    <w:p w14:paraId="0CD89B66" w14:textId="1FA6180C" w:rsidR="00263973" w:rsidRPr="009F3982" w:rsidRDefault="009755D0" w:rsidP="00263973">
      <w:pPr>
        <w:spacing w:line="360" w:lineRule="auto"/>
        <w:rPr>
          <w:rFonts w:ascii="Arial" w:hAnsi="Arial" w:cs="Arial"/>
          <w:color w:val="0E0E0E"/>
          <w:sz w:val="20"/>
          <w:szCs w:val="20"/>
        </w:rPr>
      </w:pPr>
      <w:r w:rsidRPr="009F3982">
        <w:rPr>
          <w:rFonts w:ascii="Arial" w:hAnsi="Arial" w:cs="Arial"/>
          <w:b/>
          <w:color w:val="0E0E0E"/>
          <w:sz w:val="20"/>
          <w:szCs w:val="20"/>
        </w:rPr>
        <w:t>Setting.</w:t>
      </w:r>
      <w:r w:rsidR="00263973" w:rsidRPr="009F3982">
        <w:rPr>
          <w:rFonts w:ascii="Arial" w:hAnsi="Arial" w:cs="Arial"/>
          <w:b/>
          <w:color w:val="0E0E0E"/>
          <w:sz w:val="20"/>
          <w:szCs w:val="20"/>
        </w:rPr>
        <w:t xml:space="preserve"> </w:t>
      </w:r>
      <w:r w:rsidR="00263973" w:rsidRPr="009F3982">
        <w:rPr>
          <w:rFonts w:ascii="Arial" w:hAnsi="Arial" w:cs="Arial"/>
          <w:color w:val="0E0E0E"/>
          <w:sz w:val="20"/>
          <w:szCs w:val="20"/>
        </w:rPr>
        <w:t xml:space="preserve">Recruitment took place between October 2002 and June 2006 in 16 </w:t>
      </w:r>
      <w:proofErr w:type="spellStart"/>
      <w:r w:rsidR="00263973" w:rsidRPr="009F3982">
        <w:rPr>
          <w:rFonts w:ascii="Arial" w:hAnsi="Arial" w:cs="Arial"/>
          <w:color w:val="0E0E0E"/>
          <w:sz w:val="20"/>
          <w:szCs w:val="20"/>
        </w:rPr>
        <w:t>peri</w:t>
      </w:r>
      <w:proofErr w:type="spellEnd"/>
      <w:r w:rsidR="00263973" w:rsidRPr="009F3982">
        <w:rPr>
          <w:rFonts w:ascii="Arial" w:hAnsi="Arial" w:cs="Arial"/>
          <w:color w:val="0E0E0E"/>
          <w:sz w:val="20"/>
          <w:szCs w:val="20"/>
        </w:rPr>
        <w:t xml:space="preserve">-urban shantytowns in </w:t>
      </w:r>
      <w:proofErr w:type="spellStart"/>
      <w:r w:rsidR="00263973" w:rsidRPr="009F3982">
        <w:rPr>
          <w:rFonts w:ascii="Arial" w:hAnsi="Arial" w:cs="Arial"/>
          <w:color w:val="0E0E0E"/>
          <w:sz w:val="20"/>
          <w:szCs w:val="20"/>
        </w:rPr>
        <w:t>Ventanilla</w:t>
      </w:r>
      <w:proofErr w:type="spellEnd"/>
      <w:r w:rsidR="00263973" w:rsidRPr="009F3982">
        <w:rPr>
          <w:rFonts w:ascii="Arial" w:hAnsi="Arial" w:cs="Arial"/>
          <w:color w:val="0E0E0E"/>
          <w:sz w:val="20"/>
          <w:szCs w:val="20"/>
        </w:rPr>
        <w:t xml:space="preserve">, Callao, </w:t>
      </w:r>
      <w:proofErr w:type="spellStart"/>
      <w:proofErr w:type="gramStart"/>
      <w:r w:rsidR="00263973" w:rsidRPr="009F3982">
        <w:rPr>
          <w:rFonts w:ascii="Arial" w:hAnsi="Arial" w:cs="Arial"/>
          <w:color w:val="0E0E0E"/>
          <w:sz w:val="20"/>
          <w:szCs w:val="20"/>
        </w:rPr>
        <w:t>Perú</w:t>
      </w:r>
      <w:proofErr w:type="spellEnd"/>
      <w:proofErr w:type="gramEnd"/>
      <w:r w:rsidR="00263973" w:rsidRPr="009F3982">
        <w:rPr>
          <w:rFonts w:ascii="Arial" w:hAnsi="Arial" w:cs="Arial"/>
          <w:color w:val="0E0E0E"/>
          <w:sz w:val="20"/>
          <w:szCs w:val="20"/>
        </w:rPr>
        <w:t xml:space="preserve">. The population of </w:t>
      </w:r>
      <w:proofErr w:type="spellStart"/>
      <w:r w:rsidR="00263973" w:rsidRPr="009F3982">
        <w:rPr>
          <w:rFonts w:ascii="Arial" w:hAnsi="Arial" w:cs="Arial"/>
          <w:color w:val="0E0E0E"/>
          <w:sz w:val="20"/>
          <w:szCs w:val="20"/>
        </w:rPr>
        <w:t>Ventanilla</w:t>
      </w:r>
      <w:proofErr w:type="spellEnd"/>
      <w:r w:rsidR="00263973" w:rsidRPr="009F3982">
        <w:rPr>
          <w:rFonts w:ascii="Arial" w:hAnsi="Arial" w:cs="Arial"/>
          <w:color w:val="0E0E0E"/>
          <w:sz w:val="20"/>
          <w:szCs w:val="20"/>
        </w:rPr>
        <w:t xml:space="preserve"> was approximately 184,506 in 2002 and grew to 420,805 in 2014 of which a large proportion is comprised of economic migrants and internally displaced persons. </w:t>
      </w:r>
      <w:proofErr w:type="spellStart"/>
      <w:r w:rsidR="00263973" w:rsidRPr="009F3982">
        <w:rPr>
          <w:rFonts w:ascii="Arial" w:hAnsi="Arial" w:cs="Arial"/>
          <w:color w:val="0E0E0E"/>
          <w:sz w:val="20"/>
          <w:szCs w:val="20"/>
        </w:rPr>
        <w:t>Ventanilla</w:t>
      </w:r>
      <w:proofErr w:type="spellEnd"/>
      <w:r w:rsidR="00263973" w:rsidRPr="009F3982">
        <w:rPr>
          <w:rFonts w:ascii="Arial" w:hAnsi="Arial" w:cs="Arial"/>
          <w:color w:val="0E0E0E"/>
          <w:sz w:val="20"/>
          <w:szCs w:val="20"/>
        </w:rPr>
        <w:t xml:space="preserve"> is an area of substantial poverty with high rates of TB disease (209/100,000 people/year during the study period) but low rates of HIV prevalence (&lt;2%)</w:t>
      </w:r>
      <w:r w:rsidR="004F4EBF" w:rsidRPr="009F3982">
        <w:rPr>
          <w:rFonts w:ascii="Arial" w:hAnsi="Arial" w:cs="Arial"/>
          <w:color w:val="0E0E0E"/>
          <w:sz w:val="20"/>
          <w:szCs w:val="20"/>
        </w:rPr>
        <w:t>.</w:t>
      </w:r>
    </w:p>
    <w:p w14:paraId="6CCE4B14" w14:textId="77777777" w:rsidR="00263973" w:rsidRPr="009F3982" w:rsidRDefault="00263973" w:rsidP="00263973">
      <w:pPr>
        <w:spacing w:line="360" w:lineRule="auto"/>
        <w:rPr>
          <w:rFonts w:ascii="Arial" w:hAnsi="Arial"/>
          <w:sz w:val="20"/>
          <w:szCs w:val="20"/>
        </w:rPr>
      </w:pPr>
    </w:p>
    <w:p w14:paraId="458FA631" w14:textId="0A741691" w:rsidR="005355D3" w:rsidRPr="009F3982" w:rsidRDefault="00263973" w:rsidP="00263973">
      <w:pPr>
        <w:spacing w:line="360" w:lineRule="auto"/>
        <w:rPr>
          <w:rFonts w:ascii="Arial" w:hAnsi="Arial"/>
          <w:sz w:val="20"/>
          <w:szCs w:val="20"/>
        </w:rPr>
      </w:pPr>
      <w:r w:rsidRPr="009F3982">
        <w:rPr>
          <w:rFonts w:ascii="Arial" w:hAnsi="Arial"/>
          <w:b/>
          <w:sz w:val="20"/>
          <w:szCs w:val="20"/>
        </w:rPr>
        <w:t>Participants</w:t>
      </w:r>
      <w:r w:rsidR="009755D0" w:rsidRPr="009F3982">
        <w:rPr>
          <w:rFonts w:ascii="Arial" w:hAnsi="Arial"/>
          <w:sz w:val="20"/>
          <w:szCs w:val="20"/>
        </w:rPr>
        <w:t>.</w:t>
      </w:r>
      <w:r w:rsidRPr="009F3982">
        <w:rPr>
          <w:rFonts w:ascii="Arial" w:hAnsi="Arial"/>
          <w:sz w:val="20"/>
          <w:szCs w:val="20"/>
        </w:rPr>
        <w:t xml:space="preserve"> </w:t>
      </w:r>
      <w:r w:rsidR="005355D3" w:rsidRPr="009F3982">
        <w:rPr>
          <w:rFonts w:ascii="Arial" w:hAnsi="Arial"/>
          <w:sz w:val="20"/>
          <w:szCs w:val="20"/>
        </w:rPr>
        <w:t>Operational definitions for key study variables</w:t>
      </w:r>
      <w:r w:rsidR="00E57202" w:rsidRPr="009F3982">
        <w:rPr>
          <w:rFonts w:ascii="Arial" w:hAnsi="Arial"/>
          <w:sz w:val="20"/>
          <w:szCs w:val="20"/>
        </w:rPr>
        <w:t xml:space="preserve"> outcomes are shown in B</w:t>
      </w:r>
      <w:r w:rsidR="005355D3" w:rsidRPr="009F3982">
        <w:rPr>
          <w:rFonts w:ascii="Arial" w:hAnsi="Arial"/>
          <w:sz w:val="20"/>
          <w:szCs w:val="20"/>
        </w:rPr>
        <w:t xml:space="preserve">ox 1. </w:t>
      </w:r>
      <w:r w:rsidRPr="009F3982">
        <w:rPr>
          <w:rFonts w:ascii="Arial" w:hAnsi="Arial"/>
          <w:i/>
          <w:sz w:val="20"/>
          <w:szCs w:val="20"/>
        </w:rPr>
        <w:t xml:space="preserve">Index cases: </w:t>
      </w:r>
      <w:r w:rsidRPr="009F3982">
        <w:rPr>
          <w:rFonts w:ascii="Arial" w:hAnsi="Arial"/>
          <w:sz w:val="20"/>
          <w:szCs w:val="20"/>
        </w:rPr>
        <w:t>in conjunction with the</w:t>
      </w:r>
      <w:r w:rsidR="009F3982" w:rsidRPr="009F3982">
        <w:rPr>
          <w:rFonts w:ascii="Arial" w:hAnsi="Arial"/>
          <w:sz w:val="20"/>
          <w:szCs w:val="20"/>
        </w:rPr>
        <w:t xml:space="preserve"> NTP</w:t>
      </w:r>
      <w:r w:rsidRPr="009F3982">
        <w:rPr>
          <w:rFonts w:ascii="Arial" w:hAnsi="Arial"/>
          <w:sz w:val="20"/>
          <w:szCs w:val="20"/>
        </w:rPr>
        <w:t>, we consecutively invited patients suffering from laboratory confirmed, smear-positive pulmonary TB, to participate in the study. We deliberately aimed to recruit smear-positive patients in order to focus on</w:t>
      </w:r>
      <w:r w:rsidR="009F3982" w:rsidRPr="009F3982">
        <w:rPr>
          <w:rFonts w:ascii="Arial" w:hAnsi="Arial"/>
          <w:sz w:val="20"/>
          <w:szCs w:val="20"/>
        </w:rPr>
        <w:t xml:space="preserve"> household</w:t>
      </w:r>
      <w:r w:rsidR="004A6000" w:rsidRPr="009F3982">
        <w:rPr>
          <w:rFonts w:ascii="Arial" w:hAnsi="Arial"/>
          <w:sz w:val="20"/>
          <w:szCs w:val="20"/>
        </w:rPr>
        <w:t xml:space="preserve"> contacts</w:t>
      </w:r>
      <w:r w:rsidRPr="009F3982">
        <w:rPr>
          <w:rFonts w:ascii="Arial" w:hAnsi="Arial"/>
          <w:sz w:val="20"/>
          <w:szCs w:val="20"/>
        </w:rPr>
        <w:t xml:space="preserve"> with the highest risk of TB disease</w:t>
      </w:r>
      <w:r w:rsidR="004F4EBF" w:rsidRPr="009F3982">
        <w:rPr>
          <w:rFonts w:ascii="Arial" w:hAnsi="Arial"/>
          <w:sz w:val="20"/>
          <w:szCs w:val="20"/>
        </w:rPr>
        <w:t>.</w:t>
      </w:r>
      <w:r w:rsidRPr="009F3982">
        <w:rPr>
          <w:rFonts w:ascii="Arial" w:hAnsi="Arial"/>
          <w:sz w:val="20"/>
          <w:szCs w:val="20"/>
        </w:rPr>
        <w:t xml:space="preserve"> Index cases were eligible to be included if they had at least one </w:t>
      </w:r>
      <w:r w:rsidR="009F3982" w:rsidRPr="009F3982">
        <w:rPr>
          <w:rFonts w:ascii="Arial" w:hAnsi="Arial"/>
          <w:sz w:val="20"/>
          <w:szCs w:val="20"/>
        </w:rPr>
        <w:t xml:space="preserve">household </w:t>
      </w:r>
      <w:r w:rsidRPr="009F3982">
        <w:rPr>
          <w:rFonts w:ascii="Arial" w:hAnsi="Arial"/>
          <w:sz w:val="20"/>
          <w:szCs w:val="20"/>
        </w:rPr>
        <w:t xml:space="preserve">contact over the age of 14 years who agreed to participate in the study and were excluded if they were previously a </w:t>
      </w:r>
      <w:r w:rsidR="009F3982" w:rsidRPr="009F3982">
        <w:rPr>
          <w:rFonts w:ascii="Arial" w:hAnsi="Arial"/>
          <w:sz w:val="20"/>
          <w:szCs w:val="20"/>
        </w:rPr>
        <w:t xml:space="preserve">household </w:t>
      </w:r>
      <w:r w:rsidRPr="009F3982">
        <w:rPr>
          <w:rFonts w:ascii="Arial" w:hAnsi="Arial"/>
          <w:sz w:val="20"/>
          <w:szCs w:val="20"/>
        </w:rPr>
        <w:t xml:space="preserve">contact of a case that we had already recruited. If a patient was registered twice during the study period, we only invited them to participate </w:t>
      </w:r>
      <w:r w:rsidRPr="009F3982">
        <w:rPr>
          <w:rFonts w:ascii="Arial" w:hAnsi="Arial"/>
          <w:sz w:val="20"/>
          <w:szCs w:val="20"/>
        </w:rPr>
        <w:lastRenderedPageBreak/>
        <w:t xml:space="preserve">once. </w:t>
      </w:r>
      <w:r w:rsidR="009F3982" w:rsidRPr="009F3982">
        <w:rPr>
          <w:rFonts w:ascii="Arial" w:hAnsi="Arial"/>
          <w:i/>
          <w:sz w:val="20"/>
          <w:szCs w:val="20"/>
        </w:rPr>
        <w:t>Household c</w:t>
      </w:r>
      <w:r w:rsidRPr="009F3982">
        <w:rPr>
          <w:rFonts w:ascii="Arial" w:hAnsi="Arial"/>
          <w:i/>
          <w:sz w:val="20"/>
          <w:szCs w:val="20"/>
        </w:rPr>
        <w:t xml:space="preserve">ontacts: </w:t>
      </w:r>
      <w:r w:rsidRPr="009F3982">
        <w:rPr>
          <w:rFonts w:ascii="Arial" w:hAnsi="Arial"/>
          <w:sz w:val="20"/>
          <w:szCs w:val="20"/>
        </w:rPr>
        <w:t>were defined as individuals who reported being in the same house as the recruited TB patient for over 6 hours/week in the 2 weeks preceding diagnosis. Contacts were eligible to be included if they were aged over 14 years and were able to give their written, informed consent. Contacts were excluded if they were on TB treatment at the time of recruitment.</w:t>
      </w:r>
      <w:r w:rsidR="00A11B09" w:rsidRPr="009F3982">
        <w:rPr>
          <w:rFonts w:ascii="Arial" w:hAnsi="Arial"/>
          <w:sz w:val="20"/>
          <w:szCs w:val="20"/>
        </w:rPr>
        <w:t xml:space="preserve"> </w:t>
      </w:r>
    </w:p>
    <w:p w14:paraId="50755556" w14:textId="77777777" w:rsidR="005355D3" w:rsidRPr="009F3982" w:rsidRDefault="005355D3" w:rsidP="00263973">
      <w:pPr>
        <w:spacing w:line="360" w:lineRule="auto"/>
        <w:rPr>
          <w:rFonts w:ascii="Arial" w:hAnsi="Arial"/>
          <w:sz w:val="20"/>
          <w:szCs w:val="20"/>
        </w:rPr>
      </w:pPr>
    </w:p>
    <w:p w14:paraId="5D025B38" w14:textId="37D2E219" w:rsidR="005355D3" w:rsidRPr="009F3982" w:rsidRDefault="009755D0" w:rsidP="00263973">
      <w:pPr>
        <w:spacing w:line="360" w:lineRule="auto"/>
        <w:rPr>
          <w:rFonts w:ascii="Arial" w:hAnsi="Arial"/>
          <w:sz w:val="20"/>
          <w:szCs w:val="20"/>
        </w:rPr>
      </w:pPr>
      <w:r w:rsidRPr="009F3982">
        <w:rPr>
          <w:rFonts w:ascii="Arial" w:hAnsi="Arial"/>
          <w:b/>
          <w:sz w:val="20"/>
          <w:szCs w:val="20"/>
        </w:rPr>
        <w:t>Procedures</w:t>
      </w:r>
      <w:r w:rsidR="005355D3" w:rsidRPr="009F3982">
        <w:rPr>
          <w:rFonts w:ascii="Arial" w:hAnsi="Arial"/>
          <w:b/>
          <w:sz w:val="20"/>
          <w:szCs w:val="20"/>
        </w:rPr>
        <w:t xml:space="preserve">. </w:t>
      </w:r>
      <w:r w:rsidRPr="009F3982">
        <w:rPr>
          <w:rFonts w:ascii="Arial" w:hAnsi="Arial"/>
          <w:i/>
          <w:sz w:val="20"/>
          <w:szCs w:val="20"/>
        </w:rPr>
        <w:t xml:space="preserve">Field: </w:t>
      </w:r>
      <w:r w:rsidRPr="009F3982">
        <w:rPr>
          <w:rFonts w:ascii="Arial" w:hAnsi="Arial"/>
          <w:b/>
          <w:sz w:val="20"/>
          <w:szCs w:val="20"/>
        </w:rPr>
        <w:t xml:space="preserve"> </w:t>
      </w:r>
      <w:r w:rsidRPr="009F3982">
        <w:rPr>
          <w:rFonts w:ascii="Arial" w:hAnsi="Arial"/>
          <w:sz w:val="20"/>
          <w:szCs w:val="20"/>
        </w:rPr>
        <w:t>I</w:t>
      </w:r>
      <w:r w:rsidR="00263973" w:rsidRPr="009F3982">
        <w:rPr>
          <w:rFonts w:ascii="Arial" w:hAnsi="Arial"/>
          <w:sz w:val="20"/>
          <w:szCs w:val="20"/>
        </w:rPr>
        <w:t>nteractions be</w:t>
      </w:r>
      <w:r w:rsidR="005355D3" w:rsidRPr="009F3982">
        <w:rPr>
          <w:rFonts w:ascii="Arial" w:hAnsi="Arial"/>
          <w:sz w:val="20"/>
          <w:szCs w:val="20"/>
        </w:rPr>
        <w:t xml:space="preserve">tween the research team and </w:t>
      </w:r>
      <w:r w:rsidR="00263973" w:rsidRPr="009F3982">
        <w:rPr>
          <w:rFonts w:ascii="Arial" w:hAnsi="Arial"/>
          <w:sz w:val="20"/>
          <w:szCs w:val="20"/>
        </w:rPr>
        <w:t>participants occurred at household visits. All participants completed a locally developed, piloted and refined quest</w:t>
      </w:r>
      <w:r w:rsidR="005355D3" w:rsidRPr="009F3982">
        <w:rPr>
          <w:rFonts w:ascii="Arial" w:hAnsi="Arial"/>
          <w:sz w:val="20"/>
          <w:szCs w:val="20"/>
        </w:rPr>
        <w:t>ionnaire to record baseline demographics and data on risk factors of interest that we considered relevant after literature review and pre-conceptualisation (Figure 1).</w:t>
      </w:r>
      <w:r w:rsidR="00263973" w:rsidRPr="009F3982">
        <w:rPr>
          <w:rFonts w:ascii="Arial" w:hAnsi="Arial"/>
          <w:sz w:val="20"/>
          <w:szCs w:val="20"/>
        </w:rPr>
        <w:t xml:space="preserve"> For index patients, this contained a detailed assessment of their current illness, including defining the date of symptom onset and the nature of symptoms.</w:t>
      </w:r>
      <w:r w:rsidR="004A6000" w:rsidRPr="009F3982">
        <w:rPr>
          <w:rFonts w:ascii="Arial" w:hAnsi="Arial"/>
          <w:sz w:val="20"/>
          <w:szCs w:val="20"/>
        </w:rPr>
        <w:t xml:space="preserve"> For contacts, data were collected on the number of hours they had spent per day with the index case and on the number of nights they had slept in the same room as the index in the two weeks prior to the index initiating treatment for TB.</w:t>
      </w:r>
      <w:r w:rsidRPr="009F3982">
        <w:rPr>
          <w:rFonts w:ascii="Arial" w:hAnsi="Arial"/>
          <w:sz w:val="20"/>
          <w:szCs w:val="20"/>
        </w:rPr>
        <w:t xml:space="preserve"> </w:t>
      </w:r>
      <w:r w:rsidR="00263973" w:rsidRPr="009F3982">
        <w:rPr>
          <w:rFonts w:ascii="Arial" w:hAnsi="Arial"/>
          <w:sz w:val="20"/>
          <w:szCs w:val="20"/>
        </w:rPr>
        <w:t xml:space="preserve">For all participants, </w:t>
      </w:r>
      <w:r w:rsidR="00F0506D" w:rsidRPr="009F3982">
        <w:rPr>
          <w:rFonts w:ascii="Arial" w:hAnsi="Arial"/>
          <w:sz w:val="20"/>
          <w:szCs w:val="20"/>
        </w:rPr>
        <w:t>height and weight were measured and BMI was calculated. A</w:t>
      </w:r>
      <w:r w:rsidR="00263973" w:rsidRPr="009F3982">
        <w:rPr>
          <w:rFonts w:ascii="Arial" w:hAnsi="Arial"/>
          <w:sz w:val="20"/>
          <w:szCs w:val="20"/>
        </w:rPr>
        <w:t xml:space="preserve"> detailed medical history was taken including information on history of previous TB, BCG vaccination, co-morbidities and medications the participant was taking. Socioeconomic position was measured using a composite household poverty index, incorporating 13 variable</w:t>
      </w:r>
      <w:r w:rsidR="005355D3" w:rsidRPr="009F3982">
        <w:rPr>
          <w:rFonts w:ascii="Arial" w:hAnsi="Arial"/>
          <w:sz w:val="20"/>
          <w:szCs w:val="20"/>
        </w:rPr>
        <w:t xml:space="preserve">s including education, housing </w:t>
      </w:r>
      <w:r w:rsidR="00263973" w:rsidRPr="009F3982">
        <w:rPr>
          <w:rFonts w:ascii="Arial" w:hAnsi="Arial"/>
          <w:sz w:val="20"/>
          <w:szCs w:val="20"/>
        </w:rPr>
        <w:t xml:space="preserve">and assets. </w:t>
      </w:r>
      <w:r w:rsidRPr="009F3982">
        <w:rPr>
          <w:rFonts w:ascii="Arial" w:hAnsi="Arial"/>
          <w:i/>
          <w:sz w:val="20"/>
          <w:szCs w:val="20"/>
        </w:rPr>
        <w:t>Laboratory:</w:t>
      </w:r>
      <w:r w:rsidRPr="009F3982">
        <w:rPr>
          <w:rFonts w:ascii="Arial" w:hAnsi="Arial"/>
          <w:b/>
          <w:sz w:val="20"/>
          <w:szCs w:val="20"/>
        </w:rPr>
        <w:t xml:space="preserve"> </w:t>
      </w:r>
      <w:r w:rsidRPr="009F3982">
        <w:rPr>
          <w:rFonts w:ascii="Arial" w:hAnsi="Arial"/>
          <w:sz w:val="20"/>
          <w:szCs w:val="20"/>
        </w:rPr>
        <w:t>All index patients were invited to give a sputum sample at recruitment. This was tested by</w:t>
      </w:r>
      <w:r w:rsidR="00E57202" w:rsidRPr="009F3982">
        <w:rPr>
          <w:rFonts w:ascii="Arial" w:hAnsi="Arial"/>
          <w:sz w:val="20"/>
          <w:szCs w:val="20"/>
        </w:rPr>
        <w:t xml:space="preserve"> </w:t>
      </w:r>
      <w:proofErr w:type="spellStart"/>
      <w:r w:rsidR="00E57202" w:rsidRPr="009F3982">
        <w:rPr>
          <w:rFonts w:ascii="Arial" w:hAnsi="Arial"/>
          <w:sz w:val="20"/>
          <w:szCs w:val="20"/>
        </w:rPr>
        <w:t>Ziehl</w:t>
      </w:r>
      <w:proofErr w:type="spellEnd"/>
      <w:r w:rsidR="00E57202" w:rsidRPr="009F3982">
        <w:rPr>
          <w:rFonts w:ascii="Arial" w:hAnsi="Arial"/>
          <w:sz w:val="20"/>
          <w:szCs w:val="20"/>
        </w:rPr>
        <w:t>-Nielsen smear microscopy and by the MODS assay as previously described</w:t>
      </w:r>
      <w:r w:rsidRPr="009F3982">
        <w:rPr>
          <w:rFonts w:ascii="Arial" w:hAnsi="Arial"/>
          <w:sz w:val="20"/>
          <w:szCs w:val="20"/>
        </w:rPr>
        <w:t xml:space="preserve">. The laboratory results of samples taken by the NTP were also collected and the most positive result available used in data analysis. </w:t>
      </w:r>
      <w:r w:rsidR="00E57202" w:rsidRPr="009F3982">
        <w:rPr>
          <w:rFonts w:ascii="Arial" w:hAnsi="Arial"/>
          <w:sz w:val="20"/>
          <w:szCs w:val="20"/>
        </w:rPr>
        <w:t>Patients were considered to have multi-drug-resistant TB if they had microbiological evidence of resistance, or had been commenced on 2</w:t>
      </w:r>
      <w:r w:rsidR="00E57202" w:rsidRPr="009F3982">
        <w:rPr>
          <w:rFonts w:ascii="Arial" w:hAnsi="Arial"/>
          <w:sz w:val="20"/>
          <w:szCs w:val="20"/>
          <w:vertAlign w:val="superscript"/>
        </w:rPr>
        <w:t>nd</w:t>
      </w:r>
      <w:r w:rsidR="00E57202" w:rsidRPr="009F3982">
        <w:rPr>
          <w:rFonts w:ascii="Arial" w:hAnsi="Arial"/>
          <w:sz w:val="20"/>
          <w:szCs w:val="20"/>
        </w:rPr>
        <w:t xml:space="preserve"> line drug therapy by the NTP.</w:t>
      </w:r>
    </w:p>
    <w:p w14:paraId="0F88C582" w14:textId="77777777" w:rsidR="008B68C0" w:rsidRPr="009F3982" w:rsidRDefault="008B68C0" w:rsidP="00263973">
      <w:pPr>
        <w:spacing w:line="360" w:lineRule="auto"/>
        <w:rPr>
          <w:rFonts w:ascii="Arial" w:hAnsi="Arial"/>
          <w:sz w:val="20"/>
          <w:szCs w:val="20"/>
        </w:rPr>
      </w:pPr>
    </w:p>
    <w:p w14:paraId="44081A5D" w14:textId="6670A96E" w:rsidR="004A6000" w:rsidRPr="009F3982" w:rsidRDefault="00263973" w:rsidP="004A6000">
      <w:pPr>
        <w:spacing w:line="360" w:lineRule="auto"/>
        <w:rPr>
          <w:rFonts w:ascii="Arial" w:hAnsi="Arial" w:cs="Arial"/>
          <w:sz w:val="20"/>
          <w:szCs w:val="20"/>
        </w:rPr>
      </w:pPr>
      <w:r w:rsidRPr="009F3982">
        <w:rPr>
          <w:rFonts w:ascii="Arial" w:hAnsi="Arial"/>
          <w:b/>
          <w:sz w:val="20"/>
          <w:szCs w:val="20"/>
        </w:rPr>
        <w:t>Follow up</w:t>
      </w:r>
      <w:r w:rsidR="009755D0" w:rsidRPr="009F3982">
        <w:rPr>
          <w:rFonts w:ascii="Arial" w:hAnsi="Arial"/>
          <w:b/>
          <w:sz w:val="20"/>
          <w:szCs w:val="20"/>
        </w:rPr>
        <w:t xml:space="preserve">. </w:t>
      </w:r>
      <w:r w:rsidR="009755D0" w:rsidRPr="009F3982">
        <w:rPr>
          <w:rFonts w:ascii="Arial" w:hAnsi="Arial"/>
          <w:sz w:val="20"/>
          <w:szCs w:val="20"/>
        </w:rPr>
        <w:t xml:space="preserve">In order to monitor the health of contacts, we visited their households every 2-4 weeks for a median of 6 months after recruitment and asked about the presence of symptoms (cough, fever, shortness of breath, weight loss, fatigue, night sweats, loss of appetite, chest pain, rashes, stomach pain, dyspepsia, diarrhoea, nausea/vomiting and headache) and general well being. Any contact that reported symptoms suspicious for TB was referred to the </w:t>
      </w:r>
      <w:r w:rsidR="005355D3" w:rsidRPr="009F3982">
        <w:rPr>
          <w:rFonts w:ascii="Arial" w:hAnsi="Arial"/>
          <w:sz w:val="20"/>
          <w:szCs w:val="20"/>
        </w:rPr>
        <w:t>NTP</w:t>
      </w:r>
      <w:r w:rsidR="009755D0" w:rsidRPr="009F3982">
        <w:rPr>
          <w:rFonts w:ascii="Arial" w:hAnsi="Arial"/>
          <w:sz w:val="20"/>
          <w:szCs w:val="20"/>
        </w:rPr>
        <w:t xml:space="preserve"> and also offered sputum smear and culture tests and drug sen</w:t>
      </w:r>
      <w:r w:rsidR="005355D3" w:rsidRPr="009F3982">
        <w:rPr>
          <w:rFonts w:ascii="Arial" w:hAnsi="Arial"/>
          <w:sz w:val="20"/>
          <w:szCs w:val="20"/>
        </w:rPr>
        <w:t>sitivity testing free of charge</w:t>
      </w:r>
      <w:r w:rsidR="009755D0" w:rsidRPr="009F3982">
        <w:rPr>
          <w:rFonts w:ascii="Arial" w:hAnsi="Arial"/>
          <w:sz w:val="20"/>
          <w:szCs w:val="20"/>
        </w:rPr>
        <w:t xml:space="preserve">. We collaborated with the national TB program using treatment records to identify contacts that developed TB disease </w:t>
      </w:r>
      <w:r w:rsidR="009F3982" w:rsidRPr="009F3982">
        <w:rPr>
          <w:rFonts w:ascii="Arial" w:hAnsi="Arial"/>
          <w:sz w:val="20"/>
          <w:szCs w:val="20"/>
        </w:rPr>
        <w:t xml:space="preserve">until September </w:t>
      </w:r>
      <w:r w:rsidR="009755D0" w:rsidRPr="009F3982">
        <w:rPr>
          <w:rFonts w:ascii="Arial" w:hAnsi="Arial"/>
          <w:sz w:val="20"/>
          <w:szCs w:val="20"/>
        </w:rPr>
        <w:t xml:space="preserve">2015. In addition, we performed two prevalence surveys in 2006-2007 and in 2012 during which we aimed to visit all </w:t>
      </w:r>
      <w:r w:rsidR="004A6000" w:rsidRPr="009F3982">
        <w:rPr>
          <w:rFonts w:ascii="Arial" w:hAnsi="Arial"/>
          <w:sz w:val="20"/>
          <w:szCs w:val="20"/>
        </w:rPr>
        <w:t xml:space="preserve">recruited </w:t>
      </w:r>
      <w:r w:rsidR="009755D0" w:rsidRPr="009F3982">
        <w:rPr>
          <w:rFonts w:ascii="Arial" w:hAnsi="Arial"/>
          <w:sz w:val="20"/>
          <w:szCs w:val="20"/>
        </w:rPr>
        <w:t>households to ask about previous TB episodes, check for symptomatic TB disease, and collect sputum samples to diagnose asymptomatic disease</w:t>
      </w:r>
      <w:r w:rsidR="004A6000" w:rsidRPr="009F3982">
        <w:rPr>
          <w:rFonts w:ascii="Arial" w:hAnsi="Arial"/>
          <w:sz w:val="20"/>
          <w:szCs w:val="20"/>
        </w:rPr>
        <w:t>.</w:t>
      </w:r>
      <w:r w:rsidR="004A6000" w:rsidRPr="009F3982">
        <w:rPr>
          <w:rFonts w:ascii="Arial" w:hAnsi="Arial" w:cs="Arial"/>
          <w:sz w:val="20"/>
          <w:szCs w:val="20"/>
        </w:rPr>
        <w:t xml:space="preserve"> </w:t>
      </w:r>
    </w:p>
    <w:p w14:paraId="322FBC82" w14:textId="5170CD2F" w:rsidR="00263973" w:rsidRPr="009F3982" w:rsidRDefault="00263973" w:rsidP="009755D0">
      <w:pPr>
        <w:spacing w:line="360" w:lineRule="auto"/>
        <w:rPr>
          <w:rFonts w:ascii="Arial" w:hAnsi="Arial"/>
          <w:sz w:val="20"/>
          <w:szCs w:val="20"/>
        </w:rPr>
      </w:pPr>
    </w:p>
    <w:p w14:paraId="4E578B34" w14:textId="0518F6EA" w:rsidR="008B68C0" w:rsidRPr="009F3982" w:rsidRDefault="00263973" w:rsidP="00263973">
      <w:pPr>
        <w:spacing w:line="360" w:lineRule="auto"/>
        <w:rPr>
          <w:rFonts w:ascii="Arial" w:hAnsi="Arial" w:cs="Arial"/>
          <w:sz w:val="20"/>
          <w:szCs w:val="20"/>
        </w:rPr>
      </w:pPr>
      <w:r w:rsidRPr="009F3982">
        <w:rPr>
          <w:rFonts w:ascii="Arial" w:hAnsi="Arial"/>
          <w:b/>
          <w:sz w:val="20"/>
          <w:szCs w:val="20"/>
        </w:rPr>
        <w:t>Statistical analysis</w:t>
      </w:r>
      <w:r w:rsidR="008B68C0" w:rsidRPr="009F3982">
        <w:rPr>
          <w:rFonts w:ascii="Arial" w:hAnsi="Arial"/>
          <w:b/>
          <w:sz w:val="20"/>
          <w:szCs w:val="20"/>
        </w:rPr>
        <w:t xml:space="preserve">. </w:t>
      </w:r>
      <w:r w:rsidR="008B68C0" w:rsidRPr="009F3982">
        <w:rPr>
          <w:rFonts w:ascii="Arial" w:hAnsi="Arial" w:cs="Arial"/>
          <w:sz w:val="20"/>
          <w:szCs w:val="20"/>
        </w:rPr>
        <w:t xml:space="preserve">All statistical analyses were performed using </w:t>
      </w:r>
      <w:proofErr w:type="spellStart"/>
      <w:r w:rsidR="008B68C0" w:rsidRPr="009F3982">
        <w:rPr>
          <w:rFonts w:ascii="Arial" w:hAnsi="Arial" w:cs="Arial"/>
          <w:sz w:val="20"/>
          <w:szCs w:val="20"/>
        </w:rPr>
        <w:t>Stata</w:t>
      </w:r>
      <w:proofErr w:type="spellEnd"/>
      <w:r w:rsidR="008B68C0" w:rsidRPr="009F3982">
        <w:rPr>
          <w:rFonts w:ascii="Arial" w:hAnsi="Arial" w:cs="Arial"/>
          <w:sz w:val="20"/>
          <w:szCs w:val="20"/>
        </w:rPr>
        <w:t xml:space="preserve"> (version 13, </w:t>
      </w:r>
      <w:proofErr w:type="spellStart"/>
      <w:r w:rsidR="008B68C0" w:rsidRPr="009F3982">
        <w:rPr>
          <w:rFonts w:ascii="Arial" w:hAnsi="Arial" w:cs="Arial"/>
          <w:sz w:val="20"/>
          <w:szCs w:val="20"/>
        </w:rPr>
        <w:t>StataCorp</w:t>
      </w:r>
      <w:proofErr w:type="spellEnd"/>
      <w:r w:rsidR="008B68C0" w:rsidRPr="009F3982">
        <w:rPr>
          <w:rFonts w:ascii="Arial" w:hAnsi="Arial" w:cs="Arial"/>
          <w:sz w:val="20"/>
          <w:szCs w:val="20"/>
        </w:rPr>
        <w:t xml:space="preserve">) and all p-values that were generated were two-sided with significance tested at the 5% level. Continuous data were tested for normality and summarised by their means, standard deviations (SD) and 95% confidence intervals (CIs) or medians and interquartile ranges. Categorical data were summarised as proportions with 95% CIs and compared using the </w:t>
      </w:r>
      <w:r w:rsidR="008B68C0" w:rsidRPr="009F3982">
        <w:rPr>
          <w:rFonts w:ascii="Arial" w:hAnsi="Arial" w:cs="Arial"/>
          <w:i/>
          <w:sz w:val="20"/>
          <w:szCs w:val="20"/>
        </w:rPr>
        <w:t xml:space="preserve">z </w:t>
      </w:r>
      <w:r w:rsidR="008B68C0" w:rsidRPr="009F3982">
        <w:rPr>
          <w:rFonts w:ascii="Arial" w:hAnsi="Arial" w:cs="Arial"/>
          <w:sz w:val="20"/>
          <w:szCs w:val="20"/>
        </w:rPr>
        <w:t>test for proportions.</w:t>
      </w:r>
      <w:r w:rsidR="004A6000" w:rsidRPr="009F3982">
        <w:rPr>
          <w:rFonts w:ascii="Arial" w:hAnsi="Arial" w:cs="Arial"/>
          <w:sz w:val="20"/>
          <w:szCs w:val="20"/>
        </w:rPr>
        <w:t xml:space="preserve"> Sample was size was opportunistic and thus no power calculations were performed.</w:t>
      </w:r>
    </w:p>
    <w:p w14:paraId="44025C37" w14:textId="77777777" w:rsidR="00E57202" w:rsidRPr="009F3982" w:rsidRDefault="00E57202" w:rsidP="00263973">
      <w:pPr>
        <w:spacing w:line="360" w:lineRule="auto"/>
        <w:rPr>
          <w:rFonts w:ascii="Arial" w:hAnsi="Arial" w:cs="Arial"/>
          <w:sz w:val="20"/>
          <w:szCs w:val="20"/>
        </w:rPr>
      </w:pPr>
    </w:p>
    <w:p w14:paraId="5D30A800" w14:textId="109F20F0" w:rsidR="00E57202" w:rsidRPr="009F3982" w:rsidRDefault="00E57202" w:rsidP="00E57202">
      <w:pPr>
        <w:spacing w:line="360" w:lineRule="auto"/>
        <w:rPr>
          <w:rFonts w:ascii="Arial" w:hAnsi="Arial"/>
          <w:sz w:val="20"/>
          <w:szCs w:val="20"/>
        </w:rPr>
      </w:pPr>
      <w:r w:rsidRPr="009F3982">
        <w:rPr>
          <w:rFonts w:ascii="Arial" w:hAnsi="Arial"/>
          <w:b/>
          <w:sz w:val="20"/>
          <w:szCs w:val="20"/>
        </w:rPr>
        <w:lastRenderedPageBreak/>
        <w:t xml:space="preserve">Outcomes.  </w:t>
      </w:r>
      <w:r w:rsidRPr="009F3982">
        <w:rPr>
          <w:rFonts w:ascii="Arial" w:hAnsi="Arial"/>
          <w:sz w:val="20"/>
          <w:szCs w:val="20"/>
        </w:rPr>
        <w:t xml:space="preserve">The primary end point was time to development of TB disease in contacts; defined from the date the index case took their first pill. Co-prevalent TB was defined as TB diagnosed in contacts within 60 days of the first pill and incident TB any diagnosis following this date (Box 1). </w:t>
      </w:r>
    </w:p>
    <w:p w14:paraId="5DE53160" w14:textId="77777777" w:rsidR="008B68C0" w:rsidRPr="009F3982" w:rsidRDefault="008B68C0" w:rsidP="00263973">
      <w:pPr>
        <w:spacing w:line="360" w:lineRule="auto"/>
        <w:rPr>
          <w:rFonts w:ascii="Arial" w:hAnsi="Arial" w:cs="Arial"/>
          <w:sz w:val="20"/>
          <w:szCs w:val="20"/>
        </w:rPr>
      </w:pPr>
    </w:p>
    <w:p w14:paraId="08347FD4" w14:textId="6800FC3E" w:rsidR="00E57202" w:rsidRPr="009F3982" w:rsidRDefault="008B68C0" w:rsidP="00E57202">
      <w:pPr>
        <w:spacing w:line="360" w:lineRule="auto"/>
        <w:rPr>
          <w:rFonts w:ascii="Arial" w:hAnsi="Arial" w:cs="Arial"/>
          <w:sz w:val="20"/>
          <w:szCs w:val="20"/>
        </w:rPr>
      </w:pPr>
      <w:r w:rsidRPr="009F3982">
        <w:rPr>
          <w:rFonts w:ascii="Arial" w:hAnsi="Arial" w:cs="Arial"/>
          <w:b/>
          <w:sz w:val="20"/>
          <w:szCs w:val="20"/>
        </w:rPr>
        <w:t>Risk score.</w:t>
      </w:r>
      <w:r w:rsidRPr="009F3982">
        <w:rPr>
          <w:rFonts w:ascii="Arial" w:hAnsi="Arial" w:cs="Arial"/>
          <w:sz w:val="20"/>
          <w:szCs w:val="20"/>
        </w:rPr>
        <w:t xml:space="preserve"> We randomly selected half of the populat</w:t>
      </w:r>
      <w:r w:rsidR="009F3982" w:rsidRPr="009F3982">
        <w:rPr>
          <w:rFonts w:ascii="Arial" w:hAnsi="Arial" w:cs="Arial"/>
          <w:sz w:val="20"/>
          <w:szCs w:val="20"/>
        </w:rPr>
        <w:t xml:space="preserve">ion of recruited contacts as the </w:t>
      </w:r>
      <w:r w:rsidRPr="009F3982">
        <w:rPr>
          <w:rFonts w:ascii="Arial" w:hAnsi="Arial" w:cs="Arial"/>
          <w:sz w:val="20"/>
          <w:szCs w:val="20"/>
        </w:rPr>
        <w:t xml:space="preserve">“derivation cohort”. Kaplan-Meier survival analysis was used to examine time to TB disease and Cox-proportional hazards models were generated to evaluate risk factors with hazard ratios and 95% CIs calculated. Initially all variables underwent </w:t>
      </w:r>
      <w:proofErr w:type="spellStart"/>
      <w:r w:rsidRPr="009F3982">
        <w:rPr>
          <w:rFonts w:ascii="Arial" w:hAnsi="Arial" w:cs="Arial"/>
          <w:sz w:val="20"/>
          <w:szCs w:val="20"/>
        </w:rPr>
        <w:t>univariate</w:t>
      </w:r>
      <w:proofErr w:type="spellEnd"/>
      <w:r w:rsidRPr="009F3982">
        <w:rPr>
          <w:rFonts w:ascii="Arial" w:hAnsi="Arial" w:cs="Arial"/>
          <w:sz w:val="20"/>
          <w:szCs w:val="20"/>
        </w:rPr>
        <w:t xml:space="preserve"> analysis. Variables with p&lt;0.1 in </w:t>
      </w:r>
      <w:proofErr w:type="spellStart"/>
      <w:r w:rsidRPr="009F3982">
        <w:rPr>
          <w:rFonts w:ascii="Arial" w:hAnsi="Arial" w:cs="Arial"/>
          <w:sz w:val="20"/>
          <w:szCs w:val="20"/>
        </w:rPr>
        <w:t>univariate</w:t>
      </w:r>
      <w:proofErr w:type="spellEnd"/>
      <w:r w:rsidRPr="009F3982">
        <w:rPr>
          <w:rFonts w:ascii="Arial" w:hAnsi="Arial" w:cs="Arial"/>
          <w:sz w:val="20"/>
          <w:szCs w:val="20"/>
        </w:rPr>
        <w:t xml:space="preserve"> analysis were then inc</w:t>
      </w:r>
      <w:r w:rsidR="004A6000" w:rsidRPr="009F3982">
        <w:rPr>
          <w:rFonts w:ascii="Arial" w:hAnsi="Arial" w:cs="Arial"/>
          <w:sz w:val="20"/>
          <w:szCs w:val="20"/>
        </w:rPr>
        <w:t>luded in</w:t>
      </w:r>
      <w:r w:rsidR="004C79F0" w:rsidRPr="009F3982">
        <w:rPr>
          <w:rFonts w:ascii="Arial" w:hAnsi="Arial" w:cs="Arial"/>
          <w:sz w:val="20"/>
          <w:szCs w:val="20"/>
        </w:rPr>
        <w:t xml:space="preserve"> multivariate models which </w:t>
      </w:r>
      <w:r w:rsidRPr="009F3982">
        <w:rPr>
          <w:rFonts w:ascii="Arial" w:hAnsi="Arial" w:cs="Arial"/>
          <w:sz w:val="20"/>
          <w:szCs w:val="20"/>
        </w:rPr>
        <w:t>were ad</w:t>
      </w:r>
      <w:r w:rsidR="004A6000" w:rsidRPr="009F3982">
        <w:rPr>
          <w:rFonts w:ascii="Arial" w:hAnsi="Arial" w:cs="Arial"/>
          <w:sz w:val="20"/>
          <w:szCs w:val="20"/>
        </w:rPr>
        <w:t>justed for household clustering with non significant variables removed from the final model.</w:t>
      </w:r>
      <w:r w:rsidRPr="009F3982">
        <w:rPr>
          <w:rFonts w:ascii="Arial" w:hAnsi="Arial" w:cs="Arial"/>
          <w:sz w:val="20"/>
          <w:szCs w:val="20"/>
        </w:rPr>
        <w:t xml:space="preserve"> We tested the proportional hazards assumption by including each significant risk factor as a time-dependent covariate in the model and assessing for significance. To develop a risk score</w:t>
      </w:r>
      <w:r w:rsidR="009F3982">
        <w:rPr>
          <w:rFonts w:ascii="Arial" w:hAnsi="Arial" w:cs="Arial"/>
          <w:sz w:val="20"/>
          <w:szCs w:val="20"/>
        </w:rPr>
        <w:t>, we assigned each of the</w:t>
      </w:r>
      <w:r w:rsidRPr="009F3982">
        <w:rPr>
          <w:rFonts w:ascii="Arial" w:hAnsi="Arial" w:cs="Arial"/>
          <w:sz w:val="20"/>
          <w:szCs w:val="20"/>
        </w:rPr>
        <w:t xml:space="preserve"> risk factors a number of points proportional to </w:t>
      </w:r>
      <w:r w:rsidR="004C79F0" w:rsidRPr="009F3982">
        <w:rPr>
          <w:rFonts w:ascii="Arial" w:hAnsi="Arial" w:cs="Arial"/>
          <w:sz w:val="20"/>
          <w:szCs w:val="20"/>
        </w:rPr>
        <w:t>its regression coefficient</w:t>
      </w:r>
      <w:r w:rsidRPr="009F3982">
        <w:rPr>
          <w:rFonts w:ascii="Arial" w:hAnsi="Arial" w:cs="Arial"/>
          <w:sz w:val="20"/>
          <w:szCs w:val="20"/>
        </w:rPr>
        <w:t xml:space="preserve">. A risk score was then calculated for each contact and the population divided into three categories: low-risk, intermediate-risk and high-risk. This risk score was then validated on the remaining contacts </w:t>
      </w:r>
      <w:proofErr w:type="gramStart"/>
      <w:r w:rsidRPr="009F3982">
        <w:rPr>
          <w:rFonts w:ascii="Arial" w:hAnsi="Arial" w:cs="Arial"/>
          <w:sz w:val="20"/>
          <w:szCs w:val="20"/>
        </w:rPr>
        <w:t>who</w:t>
      </w:r>
      <w:proofErr w:type="gramEnd"/>
      <w:r w:rsidRPr="009F3982">
        <w:rPr>
          <w:rFonts w:ascii="Arial" w:hAnsi="Arial" w:cs="Arial"/>
          <w:sz w:val="20"/>
          <w:szCs w:val="20"/>
        </w:rPr>
        <w:t xml:space="preserve"> are referred to as the “validation cohort”. </w:t>
      </w:r>
      <w:r w:rsidR="004C79F0" w:rsidRPr="009F3982">
        <w:rPr>
          <w:rFonts w:ascii="Arial" w:hAnsi="Arial" w:cs="Arial"/>
          <w:sz w:val="20"/>
          <w:szCs w:val="20"/>
        </w:rPr>
        <w:t>For both the derivation and validation cohorts we generated histograms to illustrate differen</w:t>
      </w:r>
      <w:r w:rsidR="004A6000" w:rsidRPr="009F3982">
        <w:rPr>
          <w:rFonts w:ascii="Arial" w:hAnsi="Arial" w:cs="Arial"/>
          <w:sz w:val="20"/>
          <w:szCs w:val="20"/>
        </w:rPr>
        <w:t xml:space="preserve">ces in risk of TB disease at 1, 2, 5 and 10 years. </w:t>
      </w:r>
      <w:r w:rsidR="004C79F0" w:rsidRPr="009F3982">
        <w:rPr>
          <w:rFonts w:ascii="Arial" w:hAnsi="Arial" w:cs="Arial"/>
          <w:sz w:val="20"/>
          <w:szCs w:val="20"/>
        </w:rPr>
        <w:t>We cal</w:t>
      </w:r>
      <w:r w:rsidR="009F3982" w:rsidRPr="009F3982">
        <w:rPr>
          <w:rFonts w:ascii="Arial" w:hAnsi="Arial" w:cs="Arial"/>
          <w:sz w:val="20"/>
          <w:szCs w:val="20"/>
        </w:rPr>
        <w:t xml:space="preserve">culated the C-statistic for </w:t>
      </w:r>
      <w:r w:rsidR="004C79F0" w:rsidRPr="009F3982">
        <w:rPr>
          <w:rFonts w:ascii="Arial" w:hAnsi="Arial" w:cs="Arial"/>
          <w:sz w:val="20"/>
          <w:szCs w:val="20"/>
        </w:rPr>
        <w:t>model</w:t>
      </w:r>
      <w:r w:rsidR="009F3982" w:rsidRPr="009F3982">
        <w:rPr>
          <w:rFonts w:ascii="Arial" w:hAnsi="Arial" w:cs="Arial"/>
          <w:sz w:val="20"/>
          <w:szCs w:val="20"/>
        </w:rPr>
        <w:t>s</w:t>
      </w:r>
      <w:r w:rsidR="004C79F0" w:rsidRPr="009F3982">
        <w:rPr>
          <w:rFonts w:ascii="Arial" w:hAnsi="Arial" w:cs="Arial"/>
          <w:sz w:val="20"/>
          <w:szCs w:val="20"/>
        </w:rPr>
        <w:t xml:space="preserve"> to examine the</w:t>
      </w:r>
      <w:r w:rsidR="009F3982" w:rsidRPr="009F3982">
        <w:rPr>
          <w:rFonts w:ascii="Arial" w:hAnsi="Arial" w:cs="Arial"/>
          <w:sz w:val="20"/>
          <w:szCs w:val="20"/>
        </w:rPr>
        <w:t>ir</w:t>
      </w:r>
      <w:r w:rsidR="004C79F0" w:rsidRPr="009F3982">
        <w:rPr>
          <w:rFonts w:ascii="Arial" w:hAnsi="Arial" w:cs="Arial"/>
          <w:sz w:val="20"/>
          <w:szCs w:val="20"/>
        </w:rPr>
        <w:t xml:space="preserve"> predictive accuracy.  </w:t>
      </w:r>
      <w:r w:rsidR="00E57202" w:rsidRPr="009F3982">
        <w:rPr>
          <w:rFonts w:ascii="Arial" w:hAnsi="Arial" w:cs="Arial"/>
          <w:sz w:val="20"/>
          <w:szCs w:val="20"/>
        </w:rPr>
        <w:t>We subsequently performed a sensitivity analysis during which we excluded episodes of TB in contacts if they reported that their symptoms started prior to recruitment and a further analysis where we only considered incident TB.</w:t>
      </w:r>
    </w:p>
    <w:p w14:paraId="1E79C430" w14:textId="6EC49FD4" w:rsidR="00E57202" w:rsidRPr="009F3982" w:rsidRDefault="00E57202" w:rsidP="004C79F0">
      <w:pPr>
        <w:spacing w:line="360" w:lineRule="auto"/>
        <w:rPr>
          <w:rFonts w:ascii="Arial" w:hAnsi="Arial" w:cs="Arial"/>
          <w:sz w:val="20"/>
          <w:szCs w:val="20"/>
        </w:rPr>
      </w:pPr>
    </w:p>
    <w:p w14:paraId="03EA4E29" w14:textId="08D9C1D4" w:rsidR="004C79F0" w:rsidRDefault="004C79F0" w:rsidP="004C79F0">
      <w:pPr>
        <w:spacing w:line="360" w:lineRule="auto"/>
        <w:rPr>
          <w:rFonts w:ascii="Arial" w:hAnsi="Arial" w:cs="Arial"/>
          <w:color w:val="0E0E0E"/>
          <w:sz w:val="20"/>
          <w:szCs w:val="20"/>
        </w:rPr>
      </w:pPr>
      <w:r w:rsidRPr="009F3982">
        <w:rPr>
          <w:rFonts w:ascii="Arial" w:hAnsi="Arial" w:cs="Arial"/>
          <w:b/>
          <w:color w:val="0E0E0E"/>
          <w:sz w:val="20"/>
          <w:szCs w:val="20"/>
        </w:rPr>
        <w:t>Ethical approval:</w:t>
      </w:r>
      <w:r w:rsidRPr="009F3982">
        <w:rPr>
          <w:rFonts w:ascii="Arial" w:hAnsi="Arial" w:cs="Arial"/>
          <w:color w:val="0E0E0E"/>
          <w:sz w:val="20"/>
          <w:szCs w:val="20"/>
        </w:rPr>
        <w:t xml:space="preserve"> was granted by the ethics committees of the Callao Ministry of Health, Peru; </w:t>
      </w:r>
      <w:proofErr w:type="spellStart"/>
      <w:r w:rsidRPr="009F3982">
        <w:rPr>
          <w:rFonts w:ascii="Arial" w:hAnsi="Arial" w:cs="Arial"/>
          <w:color w:val="0E0E0E"/>
          <w:sz w:val="20"/>
          <w:szCs w:val="20"/>
        </w:rPr>
        <w:t>Asociación</w:t>
      </w:r>
      <w:proofErr w:type="spellEnd"/>
      <w:r w:rsidRPr="009F3982">
        <w:rPr>
          <w:rFonts w:ascii="Arial" w:hAnsi="Arial" w:cs="Arial"/>
          <w:color w:val="0E0E0E"/>
          <w:sz w:val="20"/>
          <w:szCs w:val="20"/>
        </w:rPr>
        <w:t xml:space="preserve"> </w:t>
      </w:r>
      <w:proofErr w:type="spellStart"/>
      <w:r w:rsidRPr="009F3982">
        <w:rPr>
          <w:rFonts w:ascii="Arial" w:hAnsi="Arial" w:cs="Arial"/>
          <w:color w:val="0E0E0E"/>
          <w:sz w:val="20"/>
          <w:szCs w:val="20"/>
        </w:rPr>
        <w:t>Benéfica</w:t>
      </w:r>
      <w:proofErr w:type="spellEnd"/>
      <w:r w:rsidRPr="009F3982">
        <w:rPr>
          <w:rFonts w:ascii="Arial" w:hAnsi="Arial" w:cs="Arial"/>
          <w:color w:val="0E0E0E"/>
          <w:sz w:val="20"/>
          <w:szCs w:val="20"/>
        </w:rPr>
        <w:t xml:space="preserve"> PRISMA, Peru; and Imperial College London, UK.</w:t>
      </w:r>
    </w:p>
    <w:p w14:paraId="2463B9FB" w14:textId="77777777" w:rsidR="00545374" w:rsidRPr="009F3982" w:rsidRDefault="00545374" w:rsidP="004C79F0">
      <w:pPr>
        <w:spacing w:line="360" w:lineRule="auto"/>
        <w:rPr>
          <w:rFonts w:ascii="Arial" w:hAnsi="Arial" w:cs="Arial"/>
          <w:color w:val="0E0E0E"/>
          <w:sz w:val="20"/>
          <w:szCs w:val="20"/>
        </w:rPr>
      </w:pPr>
    </w:p>
    <w:p w14:paraId="2BE178F6" w14:textId="77777777" w:rsidR="004C79F0" w:rsidRPr="009F3982" w:rsidRDefault="004C79F0" w:rsidP="004C79F0">
      <w:pPr>
        <w:spacing w:line="360" w:lineRule="auto"/>
        <w:rPr>
          <w:rFonts w:ascii="Arial" w:hAnsi="Arial" w:cs="Arial"/>
          <w:color w:val="0E0E0E"/>
          <w:sz w:val="20"/>
          <w:szCs w:val="20"/>
        </w:rPr>
      </w:pPr>
      <w:r w:rsidRPr="009F3982">
        <w:rPr>
          <w:rFonts w:ascii="Arial" w:hAnsi="Arial" w:cs="Arial"/>
          <w:b/>
          <w:color w:val="0E0E0E"/>
          <w:sz w:val="20"/>
          <w:szCs w:val="20"/>
        </w:rPr>
        <w:t xml:space="preserve">Funding: </w:t>
      </w:r>
      <w:proofErr w:type="gramStart"/>
      <w:r w:rsidRPr="009F3982">
        <w:rPr>
          <w:rFonts w:ascii="Arial" w:hAnsi="Arial" w:cs="Arial"/>
          <w:color w:val="0E0E0E"/>
          <w:sz w:val="20"/>
          <w:szCs w:val="20"/>
        </w:rPr>
        <w:t xml:space="preserve">the study was funded by IFHAD (Innovation for Health and Development) and The </w:t>
      </w:r>
      <w:proofErr w:type="spellStart"/>
      <w:r w:rsidRPr="009F3982">
        <w:rPr>
          <w:rFonts w:ascii="Arial" w:hAnsi="Arial" w:cs="Arial"/>
          <w:color w:val="0E0E0E"/>
          <w:sz w:val="20"/>
          <w:szCs w:val="20"/>
        </w:rPr>
        <w:t>Wellcome</w:t>
      </w:r>
      <w:proofErr w:type="spellEnd"/>
      <w:r w:rsidRPr="009F3982">
        <w:rPr>
          <w:rFonts w:ascii="Arial" w:hAnsi="Arial" w:cs="Arial"/>
          <w:color w:val="0E0E0E"/>
          <w:sz w:val="20"/>
          <w:szCs w:val="20"/>
        </w:rPr>
        <w:t xml:space="preserve"> Trust</w:t>
      </w:r>
      <w:proofErr w:type="gramEnd"/>
      <w:r w:rsidRPr="009F3982">
        <w:rPr>
          <w:rFonts w:ascii="Arial" w:hAnsi="Arial" w:cs="Arial"/>
          <w:color w:val="0E0E0E"/>
          <w:sz w:val="20"/>
          <w:szCs w:val="20"/>
        </w:rPr>
        <w:t xml:space="preserve">. </w:t>
      </w:r>
    </w:p>
    <w:p w14:paraId="7E62C74F" w14:textId="77777777" w:rsidR="00263973" w:rsidRPr="009F3982" w:rsidRDefault="00263973" w:rsidP="00263973">
      <w:pPr>
        <w:spacing w:line="360" w:lineRule="auto"/>
        <w:rPr>
          <w:rFonts w:ascii="Arial" w:hAnsi="Arial"/>
          <w:sz w:val="20"/>
          <w:szCs w:val="20"/>
        </w:rPr>
      </w:pPr>
    </w:p>
    <w:p w14:paraId="789BD21D" w14:textId="77777777" w:rsidR="00263973" w:rsidRPr="009F3982" w:rsidRDefault="00263973" w:rsidP="00263973">
      <w:pPr>
        <w:jc w:val="center"/>
        <w:rPr>
          <w:rFonts w:ascii="Arial" w:hAnsi="Arial" w:cs="Arial"/>
          <w:b/>
          <w:noProof/>
          <w:sz w:val="20"/>
          <w:szCs w:val="20"/>
        </w:rPr>
        <w:sectPr w:rsidR="00263973" w:rsidRPr="009F3982" w:rsidSect="00B55321">
          <w:pgSz w:w="11900" w:h="16840"/>
          <w:pgMar w:top="1440" w:right="1410" w:bottom="1440" w:left="1134" w:header="708" w:footer="708" w:gutter="0"/>
          <w:cols w:space="708"/>
          <w:docGrid w:linePitch="360"/>
        </w:sectPr>
      </w:pPr>
    </w:p>
    <w:p w14:paraId="0A4C1278" w14:textId="24ED8A54" w:rsidR="00724B1C" w:rsidRDefault="009F3982" w:rsidP="009F3982">
      <w:pPr>
        <w:jc w:val="center"/>
        <w:rPr>
          <w:rFonts w:ascii="Arial" w:hAnsi="Arial" w:cs="Arial"/>
          <w:b/>
          <w:sz w:val="20"/>
          <w:szCs w:val="20"/>
        </w:rPr>
      </w:pPr>
      <w:r w:rsidRPr="009F3982">
        <w:rPr>
          <w:rFonts w:ascii="Arial" w:hAnsi="Arial" w:cs="Arial"/>
          <w:b/>
          <w:sz w:val="20"/>
          <w:szCs w:val="20"/>
        </w:rPr>
        <w:lastRenderedPageBreak/>
        <w:t>RESULTS</w:t>
      </w:r>
    </w:p>
    <w:p w14:paraId="47E087B7" w14:textId="77777777" w:rsidR="009F3982" w:rsidRDefault="009F3982" w:rsidP="009F3982">
      <w:pPr>
        <w:jc w:val="center"/>
        <w:rPr>
          <w:rFonts w:ascii="Arial" w:hAnsi="Arial" w:cs="Arial"/>
          <w:b/>
          <w:sz w:val="20"/>
          <w:szCs w:val="20"/>
        </w:rPr>
      </w:pPr>
    </w:p>
    <w:p w14:paraId="0BC35119" w14:textId="77777777" w:rsidR="009F3982" w:rsidRPr="000A4093" w:rsidRDefault="009F3982" w:rsidP="000A4093">
      <w:pPr>
        <w:rPr>
          <w:rFonts w:ascii="Arial" w:hAnsi="Arial" w:cs="Arial"/>
          <w:sz w:val="20"/>
          <w:szCs w:val="20"/>
        </w:rPr>
      </w:pPr>
    </w:p>
    <w:sectPr w:rsidR="009F3982" w:rsidRPr="000A4093" w:rsidSect="00724B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dvP41461E">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41763"/>
    <w:multiLevelType w:val="hybridMultilevel"/>
    <w:tmpl w:val="19FE8974"/>
    <w:lvl w:ilvl="0" w:tplc="D7487B00">
      <w:start w:val="1"/>
      <w:numFmt w:val="decimal"/>
      <w:lvlText w:val="%1)"/>
      <w:lvlJc w:val="left"/>
      <w:pPr>
        <w:ind w:left="720" w:hanging="360"/>
      </w:pPr>
      <w:rPr>
        <w:rFonts w:cs="AdvP41461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21"/>
    <w:rsid w:val="0002481E"/>
    <w:rsid w:val="00056FEF"/>
    <w:rsid w:val="00073F08"/>
    <w:rsid w:val="000A4093"/>
    <w:rsid w:val="00136DA1"/>
    <w:rsid w:val="001513E9"/>
    <w:rsid w:val="00186A84"/>
    <w:rsid w:val="00263973"/>
    <w:rsid w:val="00294F79"/>
    <w:rsid w:val="003C6110"/>
    <w:rsid w:val="004A3D84"/>
    <w:rsid w:val="004A6000"/>
    <w:rsid w:val="004C79F0"/>
    <w:rsid w:val="004E6D88"/>
    <w:rsid w:val="004F4EBF"/>
    <w:rsid w:val="00500297"/>
    <w:rsid w:val="005355D3"/>
    <w:rsid w:val="00545374"/>
    <w:rsid w:val="00566BE8"/>
    <w:rsid w:val="005B1432"/>
    <w:rsid w:val="006C248B"/>
    <w:rsid w:val="006E5019"/>
    <w:rsid w:val="00724B1C"/>
    <w:rsid w:val="0074137D"/>
    <w:rsid w:val="0077435D"/>
    <w:rsid w:val="007D2326"/>
    <w:rsid w:val="008053C8"/>
    <w:rsid w:val="008B68C0"/>
    <w:rsid w:val="00924608"/>
    <w:rsid w:val="009755D0"/>
    <w:rsid w:val="00976B95"/>
    <w:rsid w:val="009D7BD7"/>
    <w:rsid w:val="009F3982"/>
    <w:rsid w:val="00A11B09"/>
    <w:rsid w:val="00A6275C"/>
    <w:rsid w:val="00AD1D94"/>
    <w:rsid w:val="00B17E1C"/>
    <w:rsid w:val="00B55321"/>
    <w:rsid w:val="00BB7D18"/>
    <w:rsid w:val="00BE077A"/>
    <w:rsid w:val="00C47EF7"/>
    <w:rsid w:val="00CD403C"/>
    <w:rsid w:val="00D57B11"/>
    <w:rsid w:val="00D60360"/>
    <w:rsid w:val="00D60A7F"/>
    <w:rsid w:val="00D75070"/>
    <w:rsid w:val="00DD1720"/>
    <w:rsid w:val="00E27CF2"/>
    <w:rsid w:val="00E51429"/>
    <w:rsid w:val="00E57202"/>
    <w:rsid w:val="00E92C86"/>
    <w:rsid w:val="00F05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0B3D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2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321"/>
    <w:pPr>
      <w:spacing w:after="160" w:line="259" w:lineRule="auto"/>
      <w:ind w:left="720"/>
      <w:contextualSpacing/>
    </w:pPr>
    <w:rPr>
      <w:rFonts w:eastAsiaTheme="minorHAnsi"/>
      <w:sz w:val="22"/>
      <w:szCs w:val="22"/>
      <w:lang w:val="es-PE"/>
    </w:rPr>
  </w:style>
  <w:style w:type="character" w:styleId="Hyperlink">
    <w:name w:val="Hyperlink"/>
    <w:basedOn w:val="DefaultParagraphFont"/>
    <w:uiPriority w:val="99"/>
    <w:unhideWhenUsed/>
    <w:rsid w:val="00B553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2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321"/>
    <w:pPr>
      <w:spacing w:after="160" w:line="259" w:lineRule="auto"/>
      <w:ind w:left="720"/>
      <w:contextualSpacing/>
    </w:pPr>
    <w:rPr>
      <w:rFonts w:eastAsiaTheme="minorHAnsi"/>
      <w:sz w:val="22"/>
      <w:szCs w:val="22"/>
      <w:lang w:val="es-PE"/>
    </w:rPr>
  </w:style>
  <w:style w:type="character" w:styleId="Hyperlink">
    <w:name w:val="Hyperlink"/>
    <w:basedOn w:val="DefaultParagraphFont"/>
    <w:uiPriority w:val="99"/>
    <w:unhideWhenUsed/>
    <w:rsid w:val="00B55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tthew.saunders@ifha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7</Pages>
  <Words>1969</Words>
  <Characters>11227</Characters>
  <Application>Microsoft Macintosh Word</Application>
  <DocSecurity>0</DocSecurity>
  <Lines>93</Lines>
  <Paragraphs>26</Paragraphs>
  <ScaleCrop>false</ScaleCrop>
  <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Saunders</dc:creator>
  <cp:keywords/>
  <dc:description/>
  <cp:lastModifiedBy>Matthew Saunders</cp:lastModifiedBy>
  <cp:revision>10</cp:revision>
  <dcterms:created xsi:type="dcterms:W3CDTF">2015-10-20T17:37:00Z</dcterms:created>
  <dcterms:modified xsi:type="dcterms:W3CDTF">2015-12-09T22:12:00Z</dcterms:modified>
</cp:coreProperties>
</file>