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FC2A" w14:textId="77777777" w:rsidR="00E4233C" w:rsidRPr="00E4233C" w:rsidRDefault="00E73B3D" w:rsidP="00E4233C">
      <w:pPr>
        <w:spacing w:after="0"/>
        <w:rPr>
          <w:rFonts w:ascii="Calibri" w:hAnsi="Calibri" w:cs="Arial"/>
          <w:shd w:val="clear" w:color="auto" w:fill="FFFFFF"/>
        </w:rPr>
      </w:pPr>
      <w:r w:rsidRPr="00E73B3D">
        <w:rPr>
          <w:rFonts w:ascii="Calibri" w:hAnsi="Calibri" w:cs="Arial"/>
          <w:shd w:val="clear" w:color="auto" w:fill="FFFFFF"/>
        </w:rPr>
        <w:t>Bailón N, Ramos ES, Alvarado K, Bernaola L, Wilson JP, Talavera S, Montoya R, Valencia T, Evans CA, Datta S.</w:t>
      </w:r>
      <w:r w:rsidRPr="00E73B3D">
        <w:rPr>
          <w:rFonts w:ascii="Calibri" w:hAnsi="Calibri" w:cs="Arial"/>
        </w:rPr>
        <w:br/>
      </w:r>
      <w:r w:rsidRPr="00E73B3D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La adición de papel de filtro durante la tinción de frotis de esputo para microscopía de tuberculosis es un paso innecesario.</w:t>
      </w:r>
      <w:r w:rsidRPr="00E73B3D">
        <w:rPr>
          <w:rFonts w:ascii="Calibri" w:hAnsi="Calibri" w:cs="Arial"/>
        </w:rPr>
        <w:br/>
      </w:r>
      <w:r w:rsidR="00E4233C" w:rsidRPr="00E4233C">
        <w:rPr>
          <w:rFonts w:ascii="Calibri" w:hAnsi="Calibri" w:cs="Arial"/>
          <w:shd w:val="clear" w:color="auto" w:fill="FFFFFF"/>
        </w:rPr>
        <w:t>Presentación de póster PS-29-814-02, 2 de noviembre de 2019.</w:t>
      </w:r>
    </w:p>
    <w:p w14:paraId="567ACC20" w14:textId="5A05EE5D" w:rsidR="00E73B3D" w:rsidRPr="00C35D50" w:rsidRDefault="00E4233C" w:rsidP="00E4233C">
      <w:pPr>
        <w:spacing w:after="0"/>
        <w:rPr>
          <w:rFonts w:ascii="Calibri" w:hAnsi="Calibri"/>
          <w:lang w:val="en-GB"/>
        </w:rPr>
      </w:pPr>
      <w:r w:rsidRPr="00E4233C">
        <w:rPr>
          <w:rFonts w:ascii="Calibri" w:hAnsi="Calibri" w:cs="Arial"/>
          <w:shd w:val="clear" w:color="auto" w:fill="FFFFFF"/>
        </w:rPr>
        <w:t>En Actas de la 50.a Conferencia Mundial sobre Salud Pulmonar de la Unión Internacional contra la Tuberculosis y la Enfermedad Pulmonar (La Unión): 30 de octubre - 2 de noviembre de 2019; Hyderabad, India</w:t>
      </w:r>
      <w:r w:rsidR="00E73B3D" w:rsidRPr="00E73B3D">
        <w:rPr>
          <w:rFonts w:ascii="Calibri" w:hAnsi="Calibri" w:cs="Arial"/>
          <w:shd w:val="clear" w:color="auto" w:fill="FFFFFF"/>
        </w:rPr>
        <w:t>.</w:t>
      </w:r>
      <w:r w:rsidR="00E73B3D" w:rsidRPr="00E73B3D">
        <w:rPr>
          <w:rFonts w:ascii="Calibri" w:hAnsi="Calibri" w:cs="Arial"/>
        </w:rPr>
        <w:br/>
      </w:r>
      <w:r w:rsidR="00E73B3D" w:rsidRPr="00C35D50">
        <w:rPr>
          <w:rStyle w:val="nfasis"/>
          <w:rFonts w:ascii="Calibri" w:hAnsi="Calibri" w:cs="Arial"/>
          <w:bdr w:val="none" w:sz="0" w:space="0" w:color="auto" w:frame="1"/>
          <w:shd w:val="clear" w:color="auto" w:fill="FFFFFF"/>
          <w:lang w:val="en-GB"/>
        </w:rPr>
        <w:t>International Journal of Tuberculosis and Lung Disease</w:t>
      </w:r>
      <w:r w:rsidR="00E73B3D" w:rsidRPr="00C35D50">
        <w:rPr>
          <w:rFonts w:ascii="Calibri" w:hAnsi="Calibri" w:cs="Arial"/>
          <w:shd w:val="clear" w:color="auto" w:fill="FFFFFF"/>
          <w:lang w:val="en-GB"/>
        </w:rPr>
        <w:t> 2019;23(10 Suppl 1):S499-500.</w:t>
      </w:r>
      <w:r w:rsidR="00E73B3D" w:rsidRPr="00C35D50">
        <w:rPr>
          <w:rFonts w:ascii="Calibri" w:hAnsi="Calibri" w:cs="Arial"/>
          <w:lang w:val="en-GB"/>
        </w:rPr>
        <w:br/>
      </w:r>
      <w:r w:rsidRPr="00C35D50">
        <w:rPr>
          <w:rFonts w:ascii="Calibri" w:hAnsi="Calibri" w:cs="Arial"/>
          <w:shd w:val="clear" w:color="auto" w:fill="FFFFFF"/>
          <w:lang w:val="en-GB"/>
        </w:rPr>
        <w:t>Acceso abierto</w:t>
      </w:r>
      <w:r w:rsidR="00E73B3D" w:rsidRPr="00C35D50">
        <w:rPr>
          <w:rFonts w:ascii="Calibri" w:hAnsi="Calibri" w:cs="Arial"/>
          <w:shd w:val="clear" w:color="auto" w:fill="FFFFFF"/>
          <w:lang w:val="en-GB"/>
        </w:rPr>
        <w:t>: </w:t>
      </w:r>
      <w:bookmarkStart w:id="0" w:name="_GoBack"/>
      <w:r w:rsidR="0048329C" w:rsidRPr="0048329C">
        <w:fldChar w:fldCharType="begin"/>
      </w:r>
      <w:r w:rsidR="0048329C" w:rsidRPr="0048329C">
        <w:rPr>
          <w:lang w:val="en-GB"/>
        </w:rPr>
        <w:instrText xml:space="preserve"> HYPERLINK "https://www.theunion.org/what-we-do/journals/ijtld/body/20191101_UNION2019_Abstracts_Final.pdf" </w:instrText>
      </w:r>
      <w:r w:rsidR="0048329C" w:rsidRPr="0048329C">
        <w:fldChar w:fldCharType="separate"/>
      </w:r>
      <w:r w:rsidR="00E73B3D" w:rsidRPr="0048329C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  <w:lang w:val="en-GB"/>
        </w:rPr>
        <w:t>https://www.theunion.org/what-we-do/journals/ijtld/body/20191101_UNION2019_Abstracts_Final.pdf</w:t>
      </w:r>
      <w:r w:rsidR="0048329C" w:rsidRPr="0048329C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  <w:lang w:val="en-GB"/>
        </w:rPr>
        <w:fldChar w:fldCharType="end"/>
      </w:r>
      <w:bookmarkEnd w:id="0"/>
    </w:p>
    <w:p w14:paraId="7F92374F" w14:textId="23B7C51C" w:rsidR="00E73B3D" w:rsidRPr="00C35D50" w:rsidRDefault="00E73B3D">
      <w:pPr>
        <w:rPr>
          <w:rFonts w:ascii="Calibri" w:hAnsi="Calibri"/>
          <w:lang w:val="en-GB"/>
        </w:rPr>
      </w:pPr>
    </w:p>
    <w:p w14:paraId="14182CEF" w14:textId="660621F0" w:rsidR="00E4233C" w:rsidRPr="00E4233C" w:rsidRDefault="00E4233C" w:rsidP="00CB3E01">
      <w:pPr>
        <w:jc w:val="both"/>
        <w:rPr>
          <w:rFonts w:ascii="Calibri" w:hAnsi="Calibri"/>
        </w:rPr>
      </w:pPr>
      <w:r w:rsidRPr="00E4233C">
        <w:rPr>
          <w:rFonts w:ascii="Arial" w:hAnsi="Arial" w:cs="Arial"/>
          <w:b/>
          <w:bCs/>
        </w:rPr>
        <w:t>Antecedentes</w:t>
      </w:r>
      <w:r w:rsidRPr="00E4233C">
        <w:rPr>
          <w:rFonts w:ascii="Calibri" w:hAnsi="Calibri"/>
        </w:rPr>
        <w:t xml:space="preserve">: </w:t>
      </w:r>
      <w:r w:rsidR="00C85EAA">
        <w:rPr>
          <w:rFonts w:ascii="Calibri" w:hAnsi="Calibri"/>
        </w:rPr>
        <w:t>E</w:t>
      </w:r>
      <w:r w:rsidRPr="00E4233C">
        <w:rPr>
          <w:rFonts w:ascii="Calibri" w:hAnsi="Calibri"/>
        </w:rPr>
        <w:t>n algunos laboratorios de tuberculosis (TB), el papel de filtro se apoya sobre frotis de esputo durante la tinción, potencialmente para aumentar la tinción y reducir los precipitados. Estudiamos si esto afectó los resultados.</w:t>
      </w:r>
    </w:p>
    <w:p w14:paraId="265BD264" w14:textId="7DA035D2" w:rsidR="00E4233C" w:rsidRPr="00E4233C" w:rsidRDefault="00E4233C" w:rsidP="00CB3E01">
      <w:pPr>
        <w:jc w:val="both"/>
        <w:rPr>
          <w:rFonts w:ascii="Calibri" w:hAnsi="Calibri"/>
        </w:rPr>
      </w:pPr>
      <w:r w:rsidRPr="00E4233C">
        <w:rPr>
          <w:rFonts w:ascii="Arial" w:hAnsi="Arial" w:cs="Arial"/>
          <w:b/>
          <w:bCs/>
        </w:rPr>
        <w:t>Métodos</w:t>
      </w:r>
      <w:r w:rsidRPr="00E4233C">
        <w:rPr>
          <w:rFonts w:ascii="Arial" w:hAnsi="Arial" w:cs="Arial"/>
        </w:rPr>
        <w:t>:</w:t>
      </w:r>
      <w:r w:rsidRPr="00E4233C">
        <w:rPr>
          <w:rFonts w:ascii="Calibri" w:hAnsi="Calibri"/>
        </w:rPr>
        <w:t xml:space="preserve"> </w:t>
      </w:r>
      <w:r w:rsidR="00C85EAA">
        <w:rPr>
          <w:rFonts w:ascii="Calibri" w:hAnsi="Calibri"/>
        </w:rPr>
        <w:t>S</w:t>
      </w:r>
      <w:r w:rsidRPr="00E4233C">
        <w:rPr>
          <w:rFonts w:ascii="Calibri" w:hAnsi="Calibri"/>
        </w:rPr>
        <w:t>e recogieron muestras de esputo de 30 pacientes con TB confirmada por GeneXpert y 4 controles sanos. De cada muestra se prepararon 6 frotis para teñir con Ziehl-Neelsen (ZN), auramina o el diacetato de fluoresceína (FDA), con o sin papel de filtro. El papel de filtro de grado 3 de Whatman se colocó sobre frotis secos antes de la aplicación de la mancha y se retiró cuando la mancha se lavó. Todos los portaobjetos se leyeron con el microscopio Zeiss Primo Star iLED con un aumento de × 1000 con inmersión en aceite. Se registró el número de bacilos acidorresistentes (AFB) / 100 campos.</w:t>
      </w:r>
    </w:p>
    <w:p w14:paraId="2A7DB5A9" w14:textId="07895964" w:rsidR="00E4233C" w:rsidRPr="00E4233C" w:rsidRDefault="00E4233C" w:rsidP="00CB3E01">
      <w:pPr>
        <w:jc w:val="both"/>
        <w:rPr>
          <w:rFonts w:ascii="Calibri" w:hAnsi="Calibri"/>
        </w:rPr>
      </w:pPr>
      <w:r w:rsidRPr="00E4233C">
        <w:rPr>
          <w:rFonts w:ascii="Arial" w:hAnsi="Arial" w:cs="Arial"/>
          <w:b/>
          <w:bCs/>
        </w:rPr>
        <w:t>Resultados</w:t>
      </w:r>
      <w:r w:rsidRPr="00E4233C">
        <w:rPr>
          <w:rFonts w:ascii="Calibri" w:hAnsi="Calibri"/>
          <w:b/>
          <w:bCs/>
        </w:rPr>
        <w:t>:</w:t>
      </w:r>
      <w:r w:rsidRPr="00E4233C">
        <w:rPr>
          <w:rFonts w:ascii="Calibri" w:hAnsi="Calibri"/>
        </w:rPr>
        <w:t xml:space="preserve"> </w:t>
      </w:r>
      <w:r w:rsidR="00C85EAA">
        <w:rPr>
          <w:rFonts w:ascii="Calibri" w:hAnsi="Calibri"/>
        </w:rPr>
        <w:t>E</w:t>
      </w:r>
      <w:r w:rsidRPr="00E4233C">
        <w:rPr>
          <w:rFonts w:ascii="Calibri" w:hAnsi="Calibri"/>
        </w:rPr>
        <w:t>n muestras de pacientes, 85% (n = 51/60) fueron positivos con ZN, 85% (n = 51/60) con auramina y menos 62% (n = 37/60) con FDA (p &lt;0.001 ) En comparación con ZN, los frotis teñidos con auramina visualizaron 1.7 veces más AFB (p = 0.05) y FDA 0.2 veces, es decir, 80% menos AFB (p &lt;0.001). El papel de filtro no afectó significativamente el porcentaje de muestras de pacientes positivas con ZN, auramina ni FDA (todas p&gt; 0.08). El papel de filtro redujo el número de AFB visto con auramina un promedio de 0,60 veces (intervalo de confianza del 95% = 0,30-0,80, p = 0,03), es decir, en un 40%. En el análisis de regresión ajustado, el papel de filtro tendió a disminuir el número de AFB visualizados 0,66 veces, es decir, en un 34% en todas las técnicas de tinción (p = 0,065, figura). En ZN, el uso de papel de filtro condujo a una mayor proporción de frotis de esputo que se lava durante la tinción (p = 0.03). La adición de papel de filtro no afectó el número de precipitantes visibles (todos p&gt; 0.2).</w:t>
      </w:r>
    </w:p>
    <w:p w14:paraId="5C117FCA" w14:textId="7E08F9E8" w:rsidR="00E4233C" w:rsidRPr="00E73B3D" w:rsidRDefault="00E4233C" w:rsidP="00CB3E01">
      <w:pPr>
        <w:jc w:val="both"/>
        <w:rPr>
          <w:rFonts w:ascii="Calibri" w:hAnsi="Calibri"/>
        </w:rPr>
      </w:pPr>
      <w:r w:rsidRPr="00E4233C">
        <w:rPr>
          <w:rFonts w:ascii="Arial" w:hAnsi="Arial" w:cs="Arial"/>
          <w:b/>
          <w:bCs/>
        </w:rPr>
        <w:t>Conclusiones</w:t>
      </w:r>
      <w:r w:rsidRPr="00E4233C">
        <w:rPr>
          <w:rFonts w:ascii="Calibri" w:hAnsi="Calibri"/>
        </w:rPr>
        <w:t xml:space="preserve">: </w:t>
      </w:r>
      <w:r w:rsidR="00C85EAA">
        <w:rPr>
          <w:rFonts w:ascii="Calibri" w:hAnsi="Calibri"/>
        </w:rPr>
        <w:t>La</w:t>
      </w:r>
      <w:r w:rsidRPr="00E4233C">
        <w:rPr>
          <w:rFonts w:ascii="Calibri" w:hAnsi="Calibri"/>
        </w:rPr>
        <w:t xml:space="preserve"> auramina visualizó más AFB que ZN, y la FDA menos. Recomendamos no usar papel de filtro durante la tinción de frotis de esputo con ZN, auramina o FDA porque es un paso innecesario que no mejora y tiende a reducir la cantidad de bacilos visualizados.</w:t>
      </w:r>
    </w:p>
    <w:sectPr w:rsidR="00E4233C" w:rsidRPr="00E7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3D"/>
    <w:rsid w:val="0048329C"/>
    <w:rsid w:val="00C35D50"/>
    <w:rsid w:val="00C85EAA"/>
    <w:rsid w:val="00CB3E01"/>
    <w:rsid w:val="00E4233C"/>
    <w:rsid w:val="00E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B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73B3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7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73B3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7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6</cp:revision>
  <dcterms:created xsi:type="dcterms:W3CDTF">2020-06-02T16:09:00Z</dcterms:created>
  <dcterms:modified xsi:type="dcterms:W3CDTF">2020-06-09T01:40:00Z</dcterms:modified>
</cp:coreProperties>
</file>