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DE7BA9">
      <w:pPr>
        <w:rPr>
          <w:color w:val="000000" w:themeColor="text1"/>
        </w:rPr>
      </w:pPr>
      <w:r w:rsidRPr="00DE7BA9">
        <w:t>Barletta F, Vandelannoote K, Collantes J, Evans CA, Arévalo J, Rigouts L.</w:t>
      </w:r>
      <w:r w:rsidRPr="00DE7BA9">
        <w:br/>
      </w:r>
      <w:r w:rsidRPr="00DE7BA9">
        <w:rPr>
          <w:u w:val="single"/>
        </w:rPr>
        <w:t>Estandarización de una PCR en tiempo real basada en TaqMan para la detección del complejo Mycobacterium tuberculosis en el esputo humano</w:t>
      </w:r>
      <w:bookmarkStart w:id="0" w:name="_GoBack"/>
      <w:bookmarkEnd w:id="0"/>
      <w:r w:rsidRPr="00DE7BA9">
        <w:br/>
      </w:r>
      <w:r w:rsidRPr="00DE7BA9">
        <w:rPr>
          <w:i/>
          <w:iCs/>
        </w:rPr>
        <w:t>American Journal of Tropical Medicine and Hygiene</w:t>
      </w:r>
      <w:r w:rsidRPr="00DE7BA9">
        <w:t> 2014;91(4):709-714. doi: 10.4269/ajtmh.13-0603.</w:t>
      </w:r>
      <w:r w:rsidRPr="00DE7BA9">
        <w:br/>
        <w:t>Open access: </w:t>
      </w:r>
      <w:hyperlink r:id="rId5" w:history="1">
        <w:r w:rsidRPr="00DE7BA9">
          <w:rPr>
            <w:rStyle w:val="Hipervnculo"/>
            <w:color w:val="000000" w:themeColor="text1"/>
            <w:u w:val="none"/>
          </w:rPr>
          <w:t>https://www.ncbi.nlm.nih.gov/pubmed/25114009</w:t>
        </w:r>
      </w:hyperlink>
    </w:p>
    <w:p w:rsidR="00DE7BA9" w:rsidRDefault="00DE7BA9">
      <w:pPr>
        <w:rPr>
          <w:color w:val="000000" w:themeColor="text1"/>
        </w:rPr>
      </w:pPr>
    </w:p>
    <w:p w:rsidR="00DE7BA9" w:rsidRDefault="00DE7BA9" w:rsidP="00DE7BA9">
      <w:pPr>
        <w:jc w:val="both"/>
      </w:pPr>
      <w:r w:rsidRPr="00DE7BA9">
        <w:rPr>
          <w:rFonts w:ascii="Arial" w:hAnsi="Arial" w:cs="Arial"/>
          <w:b/>
          <w:sz w:val="21"/>
          <w:szCs w:val="21"/>
        </w:rPr>
        <w:t>Resumen:</w:t>
      </w:r>
      <w:r w:rsidRPr="00DE7BA9">
        <w:t xml:space="preserve"> La reacción en cadena de la polimerasa en tiempo real (qPCR) se optimizó para detectar Mycobacterium tuberculosis en el esputo. Se recogió esputo de pacientes (N = 112) con sospecha de tuberculosis pulmonar, se analizó mediante microscopía de barrido, se descontaminó y se dividió en partes alícuotas iguales que se cultivaron en medio Löwenstein-Jensen y se analizaron mediante qPCR para el pequeño elemento genético móvil IS6110. La secuencia ERV3 humana se usó como control interno. 3 de 112 (3%) qPCR falló. Para las 109 muestras restantes, qPCR diagnosticó tuberculosis en 79 de 84 pacientes con tuberculosis probada por cultivo, y la sensibilidad fue mayor que la microscopía (94% versus 76%, respectivamente, P &lt;0.05). La sensibilidad de qPCR fue similar (P = 0.9) para muestras con frotis positivo (94%, 60 de 64) y con frotis negativo (95%, 19 de 20). La qPCR fue negativa para 24 de 25 de los esputas con microscopía negativa y cultivo (especificidad diagnóstica 96%). El qPCR tenía 99,5% de sensibilidad y especificidad para 211 muestras de control de calidad, incluidas 84 micobacterias no tuberculosas. El qPCR costó </w:t>
      </w:r>
      <w:r w:rsidRPr="00DE7BA9">
        <w:rPr>
          <w:rFonts w:ascii="Cambria Math" w:hAnsi="Cambria Math" w:cs="Cambria Math"/>
        </w:rPr>
        <w:t>∼</w:t>
      </w:r>
      <w:r w:rsidRPr="00DE7BA9">
        <w:t>5US $ por muestra y proporcion</w:t>
      </w:r>
      <w:r w:rsidRPr="00DE7BA9">
        <w:rPr>
          <w:rFonts w:ascii="Calibri" w:hAnsi="Calibri" w:cs="Calibri"/>
        </w:rPr>
        <w:t>ó</w:t>
      </w:r>
      <w:r w:rsidRPr="00DE7BA9">
        <w:t xml:space="preserve"> resultados el mismo d</w:t>
      </w:r>
      <w:r w:rsidRPr="00DE7BA9">
        <w:rPr>
          <w:rFonts w:ascii="Calibri" w:hAnsi="Calibri" w:cs="Calibri"/>
        </w:rPr>
        <w:t>í</w:t>
      </w:r>
      <w:r w:rsidRPr="00DE7BA9">
        <w:t>a en comparaci</w:t>
      </w:r>
      <w:r w:rsidRPr="00DE7BA9">
        <w:rPr>
          <w:rFonts w:ascii="Calibri" w:hAnsi="Calibri" w:cs="Calibri"/>
        </w:rPr>
        <w:t>ó</w:t>
      </w:r>
      <w:r w:rsidRPr="00DE7BA9">
        <w:t>n con 2-6 semanas para el cultivo.</w:t>
      </w:r>
    </w:p>
    <w:sectPr w:rsidR="00DE7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A9"/>
    <w:rsid w:val="003C7C14"/>
    <w:rsid w:val="009308EF"/>
    <w:rsid w:val="00DE7BA9"/>
    <w:rsid w:val="00ED4F9C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5114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2020-05-31T18:05:00Z</dcterms:created>
  <dcterms:modified xsi:type="dcterms:W3CDTF">2020-05-31T18:20:00Z</dcterms:modified>
</cp:coreProperties>
</file>