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58311" w14:textId="5CBB426C" w:rsidR="00625E30" w:rsidRDefault="00625E30">
      <w:pPr>
        <w:rPr>
          <w:rFonts w:ascii="Calibri" w:hAnsi="Calibri" w:cs="Calibri"/>
        </w:rPr>
      </w:pPr>
      <w:r w:rsidRPr="00625E30">
        <w:rPr>
          <w:rFonts w:ascii="Calibri" w:hAnsi="Calibri" w:cs="Calibri"/>
          <w:shd w:val="clear" w:color="auto" w:fill="FFFFFF"/>
        </w:rPr>
        <w:t>Boccia D, Hargreaves J, Lönnroth K, Jaramillo E, Weiss J, Uplekar M, Porter JDH, Evans CA.</w:t>
      </w:r>
      <w:r w:rsidRPr="00625E30">
        <w:rPr>
          <w:rFonts w:ascii="Calibri" w:hAnsi="Calibri" w:cs="Calibri"/>
        </w:rPr>
        <w:br/>
      </w:r>
      <w:r w:rsidR="00596F60" w:rsidRPr="00596F60">
        <w:rPr>
          <w:rFonts w:ascii="Calibri" w:hAnsi="Calibri" w:cs="Calibri"/>
          <w:u w:val="single"/>
          <w:bdr w:val="none" w:sz="0" w:space="0" w:color="auto" w:frame="1"/>
          <w:shd w:val="clear" w:color="auto" w:fill="FFFFFF"/>
        </w:rPr>
        <w:t>Intervenciones de transferencia de efectivo y microfinanzas para el control de la tuberculosis: revisión de la evidencia de impacto y las implicaciones políticas</w:t>
      </w:r>
      <w:r w:rsidRPr="00625E30">
        <w:rPr>
          <w:rFonts w:ascii="Calibri" w:hAnsi="Calibri" w:cs="Calibri"/>
        </w:rPr>
        <w:br/>
      </w:r>
      <w:r w:rsidRPr="00625E30">
        <w:rPr>
          <w:rStyle w:val="nfasis"/>
          <w:rFonts w:ascii="Calibri" w:hAnsi="Calibri" w:cs="Calibri"/>
          <w:bdr w:val="none" w:sz="0" w:space="0" w:color="auto" w:frame="1"/>
          <w:shd w:val="clear" w:color="auto" w:fill="FFFFFF"/>
        </w:rPr>
        <w:t>International Journal of Tuberculosis and Lung Disease</w:t>
      </w:r>
      <w:r w:rsidRPr="00625E30">
        <w:rPr>
          <w:rFonts w:ascii="Calibri" w:hAnsi="Calibri" w:cs="Calibri"/>
          <w:shd w:val="clear" w:color="auto" w:fill="FFFFFF"/>
        </w:rPr>
        <w:t> 2011:15(Suppl 2); S37-49. doi: 10.5588/ijtld.10.0438.</w:t>
      </w:r>
      <w:r w:rsidRPr="00625E30">
        <w:rPr>
          <w:rFonts w:ascii="Calibri" w:hAnsi="Calibri" w:cs="Calibri"/>
        </w:rPr>
        <w:br/>
      </w:r>
      <w:r w:rsidRPr="00625E30">
        <w:rPr>
          <w:rFonts w:ascii="Calibri" w:hAnsi="Calibri" w:cs="Calibri"/>
          <w:shd w:val="clear" w:color="auto" w:fill="FFFFFF"/>
        </w:rPr>
        <w:t>Open access: </w:t>
      </w:r>
      <w:hyperlink r:id="rId5" w:history="1">
        <w:r w:rsidRPr="00625E30">
          <w:rPr>
            <w:rStyle w:val="Hipervnculo"/>
            <w:rFonts w:ascii="Calibri" w:hAnsi="Calibri" w:cs="Calibri"/>
            <w:color w:val="auto"/>
            <w:bdr w:val="none" w:sz="0" w:space="0" w:color="auto" w:frame="1"/>
            <w:shd w:val="clear" w:color="auto" w:fill="FFFFFF"/>
          </w:rPr>
          <w:t>http://www.ncbi.nlm.nih.gov/pubmed/21740658</w:t>
        </w:r>
      </w:hyperlink>
    </w:p>
    <w:p w14:paraId="16F023D2" w14:textId="159AE910" w:rsidR="00596F60" w:rsidRDefault="00596F60">
      <w:pPr>
        <w:rPr>
          <w:rFonts w:ascii="Calibri" w:hAnsi="Calibri" w:cs="Calibri"/>
        </w:rPr>
      </w:pPr>
    </w:p>
    <w:p w14:paraId="001D74E0" w14:textId="77777777" w:rsidR="00596F60" w:rsidRPr="00596F60" w:rsidRDefault="00596F60" w:rsidP="00596F60">
      <w:pPr>
        <w:jc w:val="both"/>
        <w:rPr>
          <w:rFonts w:ascii="Arial" w:hAnsi="Arial" w:cs="Arial"/>
          <w:b/>
          <w:bCs/>
        </w:rPr>
      </w:pPr>
      <w:r w:rsidRPr="00596F60">
        <w:rPr>
          <w:rFonts w:ascii="Arial" w:hAnsi="Arial" w:cs="Arial"/>
          <w:b/>
          <w:bCs/>
        </w:rPr>
        <w:t>Resumen</w:t>
      </w:r>
    </w:p>
    <w:p w14:paraId="051971C5" w14:textId="448F905F" w:rsidR="00596F60" w:rsidRDefault="00596F60" w:rsidP="00596F60">
      <w:pPr>
        <w:jc w:val="both"/>
      </w:pPr>
      <w:r w:rsidRPr="00596F60">
        <w:rPr>
          <w:rFonts w:ascii="Arial" w:hAnsi="Arial" w:cs="Arial"/>
          <w:b/>
          <w:bCs/>
        </w:rPr>
        <w:t>Objetivo</w:t>
      </w:r>
      <w:r w:rsidRPr="00596F60">
        <w:rPr>
          <w:b/>
          <w:bCs/>
        </w:rPr>
        <w:t>:</w:t>
      </w:r>
      <w:r w:rsidR="00316830">
        <w:t xml:space="preserve"> C</w:t>
      </w:r>
      <w:bookmarkStart w:id="0" w:name="_GoBack"/>
      <w:bookmarkEnd w:id="0"/>
      <w:r>
        <w:t>uantificar el impacto de las transferencias de efectivo y las intervenciones de microfinanzas en una lista seleccionada de factores de riesgo de tuberculosis (TB) y evaluar su papel potencial en el apoyo al control de la TB.</w:t>
      </w:r>
    </w:p>
    <w:p w14:paraId="3C2E557B" w14:textId="363C1934" w:rsidR="00596F60" w:rsidRDefault="00596F60" w:rsidP="00596F60">
      <w:pPr>
        <w:jc w:val="both"/>
      </w:pPr>
      <w:r w:rsidRPr="00316830">
        <w:rPr>
          <w:rFonts w:ascii="Arial" w:hAnsi="Arial" w:cs="Arial"/>
          <w:b/>
          <w:bCs/>
        </w:rPr>
        <w:t>Fuente de datos:</w:t>
      </w:r>
      <w:r w:rsidR="00316830">
        <w:t xml:space="preserve"> R</w:t>
      </w:r>
      <w:r>
        <w:t>eferencias publicadas e inéditas identificadas de bases de datos electrónicas clínicas y sociales, literatura gris y sitios web.</w:t>
      </w:r>
    </w:p>
    <w:p w14:paraId="58921966" w14:textId="6683B998" w:rsidR="00596F60" w:rsidRDefault="00596F60" w:rsidP="00596F60">
      <w:pPr>
        <w:jc w:val="both"/>
      </w:pPr>
      <w:r w:rsidRPr="00596F60">
        <w:rPr>
          <w:rFonts w:ascii="Arial" w:hAnsi="Arial" w:cs="Arial"/>
          <w:b/>
          <w:bCs/>
        </w:rPr>
        <w:t>Métodos</w:t>
      </w:r>
      <w:r w:rsidRPr="00596F60">
        <w:rPr>
          <w:b/>
          <w:bCs/>
        </w:rPr>
        <w:t>:</w:t>
      </w:r>
      <w:r w:rsidR="00316830">
        <w:t xml:space="preserve"> L</w:t>
      </w:r>
      <w:r>
        <w:t>as intervenciones elegibles debían realizarse en países de ingresos medios o bajos y documentar una evaluación de impacto sobre cualquiera de los siguientes resultados: 1) TB u otras infecciones respiratorias; 2) posición socioeconómica del hogar; y 3) factores que median la asociación entre la baja posición socioeconómica del hogar y la tuberculosis, incluidos los comportamientos inadecuados de búsqueda de salud, la inseguridad alimentaria y los factores de riesgo biológicos de la tuberculosis, como el virus de la inmunodeficiencia humana (VIH) y la desnutrición en adultos. Se excluyeron las intervenciones dirigidas a poblaciones especiales.</w:t>
      </w:r>
    </w:p>
    <w:p w14:paraId="77E53D36" w14:textId="77777777" w:rsidR="00596F60" w:rsidRDefault="00596F60" w:rsidP="00596F60">
      <w:pPr>
        <w:jc w:val="both"/>
      </w:pPr>
      <w:r w:rsidRPr="00596F60">
        <w:rPr>
          <w:rFonts w:ascii="Arial" w:hAnsi="Arial" w:cs="Arial"/>
          <w:b/>
          <w:bCs/>
        </w:rPr>
        <w:t>Resultados</w:t>
      </w:r>
      <w:r>
        <w:t>: Quince esquemas de transferencia de efectivo (cuatro incondicionales y 11 condicionales) y siete programas de microfinanzas cumplieron con los criterios de elegibilidad. Ninguna intervención abordó la TB o cualquier otra infección respiratoria. De 11 transferencias de efectivo y cuatro intervenciones de microfinanzas, siete y cuatro informaron un impacto positivo en los indicadores de bienestar económico, respectivamente. Se documentó un impacto positivo en la seguridad alimentaria de los hogares en ocho de nueve y tres de cinco intervenciones de transferencia de efectivo y microfinanzas, respectivamente. El acceso mejorado a la atención médica se documentó respectivamente en 10 de 12 transferencias de efectivo y cuatro de cinco intervenciones de microfinanzas. La única intervención que evaluó el impacto en la incidencia del VIH fue un proyecto de microfinanzas que no encontró ningún efecto. Ninguna intervención de transferencia de efectivo o microfinanzas tuvo un impacto en la desnutrición adulta.</w:t>
      </w:r>
    </w:p>
    <w:p w14:paraId="72EBC002" w14:textId="00798B2E" w:rsidR="00596F60" w:rsidRPr="00625E30" w:rsidRDefault="00596F60" w:rsidP="00596F60">
      <w:pPr>
        <w:jc w:val="both"/>
        <w:rPr>
          <w:rFonts w:ascii="Calibri" w:hAnsi="Calibri" w:cs="Calibri"/>
        </w:rPr>
      </w:pPr>
      <w:r w:rsidRPr="00596F60">
        <w:rPr>
          <w:rFonts w:ascii="Arial" w:hAnsi="Arial" w:cs="Arial"/>
          <w:b/>
          <w:bCs/>
        </w:rPr>
        <w:t>Conclusiones</w:t>
      </w:r>
      <w:r w:rsidR="00316830">
        <w:t>: L</w:t>
      </w:r>
      <w:r>
        <w:t>as intervenciones de transferencia de efectivo y microfinanzas pueden impactar positivamente los factores de riesgo de TB. Se necesitan con urgencia estudios de evaluación para evaluar el impacto de estas intervenciones de protección social en los indicadores reales de TB.</w:t>
      </w:r>
    </w:p>
    <w:sectPr w:rsidR="00596F60" w:rsidRPr="00625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30"/>
    <w:rsid w:val="00291E35"/>
    <w:rsid w:val="00316830"/>
    <w:rsid w:val="00596F60"/>
    <w:rsid w:val="00625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2">
    <w:name w:val="heading 2"/>
    <w:basedOn w:val="Normal"/>
    <w:link w:val="Ttulo2Car"/>
    <w:uiPriority w:val="9"/>
    <w:qFormat/>
    <w:rsid w:val="00596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25E30"/>
    <w:rPr>
      <w:i/>
      <w:iCs/>
    </w:rPr>
  </w:style>
  <w:style w:type="character" w:styleId="Hipervnculo">
    <w:name w:val="Hyperlink"/>
    <w:basedOn w:val="Fuentedeprrafopredeter"/>
    <w:uiPriority w:val="99"/>
    <w:semiHidden/>
    <w:unhideWhenUsed/>
    <w:rsid w:val="00625E30"/>
    <w:rPr>
      <w:color w:val="0000FF"/>
      <w:u w:val="single"/>
    </w:rPr>
  </w:style>
  <w:style w:type="character" w:customStyle="1" w:styleId="Ttulo2Car">
    <w:name w:val="Título 2 Car"/>
    <w:basedOn w:val="Fuentedeprrafopredeter"/>
    <w:link w:val="Ttulo2"/>
    <w:uiPriority w:val="9"/>
    <w:rsid w:val="00596F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6F6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96F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2">
    <w:name w:val="heading 2"/>
    <w:basedOn w:val="Normal"/>
    <w:link w:val="Ttulo2Car"/>
    <w:uiPriority w:val="9"/>
    <w:qFormat/>
    <w:rsid w:val="00596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25E30"/>
    <w:rPr>
      <w:i/>
      <w:iCs/>
    </w:rPr>
  </w:style>
  <w:style w:type="character" w:styleId="Hipervnculo">
    <w:name w:val="Hyperlink"/>
    <w:basedOn w:val="Fuentedeprrafopredeter"/>
    <w:uiPriority w:val="99"/>
    <w:semiHidden/>
    <w:unhideWhenUsed/>
    <w:rsid w:val="00625E30"/>
    <w:rPr>
      <w:color w:val="0000FF"/>
      <w:u w:val="single"/>
    </w:rPr>
  </w:style>
  <w:style w:type="character" w:customStyle="1" w:styleId="Ttulo2Car">
    <w:name w:val="Título 2 Car"/>
    <w:basedOn w:val="Fuentedeprrafopredeter"/>
    <w:link w:val="Ttulo2"/>
    <w:uiPriority w:val="9"/>
    <w:rsid w:val="00596F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6F6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96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8869">
      <w:bodyDiv w:val="1"/>
      <w:marLeft w:val="0"/>
      <w:marRight w:val="0"/>
      <w:marTop w:val="0"/>
      <w:marBottom w:val="0"/>
      <w:divBdr>
        <w:top w:val="none" w:sz="0" w:space="0" w:color="auto"/>
        <w:left w:val="none" w:sz="0" w:space="0" w:color="auto"/>
        <w:bottom w:val="none" w:sz="0" w:space="0" w:color="auto"/>
        <w:right w:val="none" w:sz="0" w:space="0" w:color="auto"/>
      </w:divBdr>
      <w:divsChild>
        <w:div w:id="154856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17406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2409</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2020-06-01T13:47:00Z</dcterms:created>
  <dcterms:modified xsi:type="dcterms:W3CDTF">2020-06-05T15:44:00Z</dcterms:modified>
</cp:coreProperties>
</file>