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78DB20" w14:textId="412933C4" w:rsidR="00FE3025" w:rsidRPr="00B83668" w:rsidRDefault="00FE3025">
      <w:pPr>
        <w:rPr>
          <w:rFonts w:ascii="Calibri" w:hAnsi="Calibri" w:cs="Calibri"/>
        </w:rPr>
      </w:pPr>
      <w:r w:rsidRPr="00B83668">
        <w:rPr>
          <w:rFonts w:ascii="Calibri" w:hAnsi="Calibri" w:cs="Calibri"/>
          <w:shd w:val="clear" w:color="auto" w:fill="FFFFFF"/>
        </w:rPr>
        <w:t>Boccia D, Evans CA.</w:t>
      </w:r>
      <w:r w:rsidRPr="00B83668">
        <w:rPr>
          <w:rFonts w:ascii="Calibri" w:hAnsi="Calibri" w:cs="Calibri"/>
        </w:rPr>
        <w:br/>
      </w:r>
      <w:r w:rsidR="00B83668" w:rsidRPr="00B83668">
        <w:rPr>
          <w:rFonts w:ascii="Calibri" w:hAnsi="Calibri" w:cs="Calibri"/>
          <w:u w:val="single"/>
          <w:bdr w:val="none" w:sz="0" w:space="0" w:color="auto" w:frame="1"/>
          <w:shd w:val="clear" w:color="auto" w:fill="FFFFFF"/>
        </w:rPr>
        <w:t>Una nueva era para el control global de la tuberculosis</w:t>
      </w:r>
      <w:r w:rsidRPr="00B83668">
        <w:rPr>
          <w:rFonts w:ascii="Calibri" w:hAnsi="Calibri" w:cs="Calibri"/>
          <w:u w:val="single"/>
          <w:bdr w:val="none" w:sz="0" w:space="0" w:color="auto" w:frame="1"/>
          <w:shd w:val="clear" w:color="auto" w:fill="FFFFFF"/>
        </w:rPr>
        <w:t xml:space="preserve"> </w:t>
      </w:r>
      <w:r w:rsidRPr="006263F2">
        <w:rPr>
          <w:rFonts w:ascii="Calibri" w:hAnsi="Calibri" w:cs="Calibri"/>
          <w:bdr w:val="none" w:sz="0" w:space="0" w:color="auto" w:frame="1"/>
          <w:shd w:val="clear" w:color="auto" w:fill="FFFFFF"/>
        </w:rPr>
        <w:t>(</w:t>
      </w:r>
      <w:r w:rsidR="006263F2" w:rsidRPr="006263F2">
        <w:rPr>
          <w:rFonts w:ascii="Calibri" w:hAnsi="Calibri" w:cs="Calibri"/>
          <w:bdr w:val="none" w:sz="0" w:space="0" w:color="auto" w:frame="1"/>
          <w:shd w:val="clear" w:color="auto" w:fill="FFFFFF"/>
        </w:rPr>
        <w:t>Correspondencia</w:t>
      </w:r>
      <w:r w:rsidRPr="006263F2">
        <w:rPr>
          <w:rFonts w:ascii="Calibri" w:hAnsi="Calibri" w:cs="Calibri"/>
          <w:bdr w:val="none" w:sz="0" w:space="0" w:color="auto" w:frame="1"/>
          <w:shd w:val="clear" w:color="auto" w:fill="FFFFFF"/>
        </w:rPr>
        <w:t>)</w:t>
      </w:r>
      <w:r w:rsidRPr="00B83668">
        <w:rPr>
          <w:rFonts w:ascii="Calibri" w:hAnsi="Calibri" w:cs="Calibri"/>
        </w:rPr>
        <w:br/>
      </w:r>
      <w:r w:rsidRPr="00094FAD">
        <w:rPr>
          <w:rFonts w:ascii="Calibri" w:hAnsi="Calibri" w:cs="Calibri"/>
          <w:i/>
          <w:iCs/>
          <w:shd w:val="clear" w:color="auto" w:fill="FFFFFF"/>
        </w:rPr>
        <w:t>Lancet</w:t>
      </w:r>
      <w:r w:rsidRPr="00B83668">
        <w:rPr>
          <w:rFonts w:ascii="Calibri" w:hAnsi="Calibri" w:cs="Calibri"/>
          <w:shd w:val="clear" w:color="auto" w:fill="FFFFFF"/>
        </w:rPr>
        <w:t xml:space="preserve"> 2011;378(9799):1293. doi: 10.1016/S0140-6736(11)61568-7.</w:t>
      </w:r>
      <w:r w:rsidRPr="00B83668">
        <w:rPr>
          <w:rFonts w:ascii="Calibri" w:hAnsi="Calibri" w:cs="Calibri"/>
        </w:rPr>
        <w:br/>
      </w:r>
      <w:r w:rsidRPr="00B83668">
        <w:rPr>
          <w:rFonts w:ascii="Calibri" w:hAnsi="Calibri" w:cs="Calibri"/>
          <w:shd w:val="clear" w:color="auto" w:fill="FFFFFF"/>
        </w:rPr>
        <w:t>Open access: </w:t>
      </w:r>
      <w:hyperlink r:id="rId5" w:history="1">
        <w:r w:rsidRPr="00B83668">
          <w:rPr>
            <w:rStyle w:val="Hipervnculo"/>
            <w:rFonts w:ascii="Calibri" w:hAnsi="Calibri" w:cs="Calibri"/>
            <w:color w:val="auto"/>
            <w:bdr w:val="none" w:sz="0" w:space="0" w:color="auto" w:frame="1"/>
            <w:shd w:val="clear" w:color="auto" w:fill="FFFFFF"/>
          </w:rPr>
          <w:t>http://www.ncbi.nlm.nih.gov/pubmed/21982090</w:t>
        </w:r>
      </w:hyperlink>
    </w:p>
    <w:p w14:paraId="398D9D11" w14:textId="08CF76BC" w:rsidR="00B83668" w:rsidRDefault="00B83668">
      <w:pPr>
        <w:rPr>
          <w:rFonts w:ascii="Calibri" w:hAnsi="Calibri" w:cs="Calibri"/>
        </w:rPr>
      </w:pPr>
    </w:p>
    <w:p w14:paraId="3A6038EE" w14:textId="2ECF6724" w:rsidR="00B83668" w:rsidRPr="00B83668" w:rsidRDefault="00B83668" w:rsidP="00B83668">
      <w:pPr>
        <w:jc w:val="both"/>
      </w:pPr>
      <w:r w:rsidRPr="00B83668">
        <w:t>Un editorial de The Lancet enfatizó la necesidad de "alejarse de la sobre medicalización de la tuberculosis y reconocer su intersección con otros sectores" y abogó por el papel de la OMS en esta "nueva era para el control global de la tuberculosis". Ya se han realizado esfuerzos en esta dirección. Además, junto con colegas del departamento de STOP-TB de la OMS, hemos investigado cómo abordar los determinantes sociales de la tuberculosis. Nuestra investigación sugiere que las intervenciones socioeconómicas, en forma de transferencia de efectivo y microfinanzas, pueden reducir los factores de riesgo de tuberculosis y mejorar los comportamientos de búsqueda de salud.</w:t>
      </w:r>
    </w:p>
    <w:p w14:paraId="57057341" w14:textId="76099AF2" w:rsidR="00B83668" w:rsidRPr="00B83668" w:rsidRDefault="00B83668" w:rsidP="00B83668">
      <w:pPr>
        <w:jc w:val="both"/>
      </w:pPr>
      <w:r w:rsidRPr="00B83668">
        <w:t xml:space="preserve">Las iniciativas biomédicas, como los nuevos diagnósticos, aún reciben mucha más atención que las socioeconómicas, pero estas estrategias no deben percibirse como competidoras entre sí. Los programas de control de la tuberculosis no necesitan ser responsables de administrar intervenciones socioeconómicas; más bien es esencial identificar nuevas formas de integrarlos para garantizar la sostenibilidad a largo plazo. </w:t>
      </w:r>
    </w:p>
    <w:p w14:paraId="432C4010" w14:textId="65B49396" w:rsidR="00B83668" w:rsidRPr="008D6486" w:rsidRDefault="00B83668" w:rsidP="00B83668">
      <w:pPr>
        <w:jc w:val="both"/>
      </w:pPr>
      <w:r w:rsidRPr="008D6486">
        <w:t>Una estrategia potencial para asegurar fondos adicionales para las intervenciones socioeconómicas es la implementación de una “compensación social en la investigación [de la tuberculosis]”</w:t>
      </w:r>
      <w:bookmarkStart w:id="0" w:name="_GoBack"/>
      <w:bookmarkEnd w:id="0"/>
      <w:r w:rsidRPr="008D6486">
        <w:t>, un mecanismo por el cual cualquier inversión en soluciones biomédicas estrechas para la tuberculosis se compensa canalizando una proporción de esa inversión hacia intervenciones de protección social dirigidas a individuos afectados o poblaciones vulnerables.</w:t>
      </w:r>
    </w:p>
    <w:p w14:paraId="1A0AD0CF" w14:textId="732456DF" w:rsidR="00B83668" w:rsidRPr="00B83668" w:rsidRDefault="00B83668" w:rsidP="00B83668">
      <w:pPr>
        <w:jc w:val="both"/>
        <w:rPr>
          <w:rFonts w:ascii="Calibri" w:hAnsi="Calibri" w:cs="Calibri"/>
        </w:rPr>
      </w:pPr>
      <w:r w:rsidRPr="00B83668">
        <w:t>Para explorar estas estrategias, varios socios, incluida la OMS, están organizando una reunión de 3 días "Intervenciones de protección social para mejorar el control de la TB: el impacto, los desafíos y el camino a seguir" en Londres, Reino Unido, del 15 al 17 de febrero de 2012 Pocos discutirían sobre la importancia de abordar los determinantes sociales de la tuberculosis para asegurar su eliminación. El liderazgo de la OMS ahora debe coincidir con el apoyo de donantes y agencias de desarrollo, y la comunidad de control de la tuberculosis debe repensar la tuberculosis no solo como un problema de salud pública sino también como un problema de desarrollo.</w:t>
      </w:r>
    </w:p>
    <w:sectPr w:rsidR="00B83668" w:rsidRPr="00B836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025"/>
    <w:rsid w:val="00094FAD"/>
    <w:rsid w:val="000F53FA"/>
    <w:rsid w:val="006263F2"/>
    <w:rsid w:val="008D6486"/>
    <w:rsid w:val="00B83668"/>
    <w:rsid w:val="00FE302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B0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FE3025"/>
    <w:rPr>
      <w:color w:val="0000FF"/>
      <w:u w:val="single"/>
    </w:rPr>
  </w:style>
  <w:style w:type="character" w:styleId="nfasis">
    <w:name w:val="Emphasis"/>
    <w:basedOn w:val="Fuentedeprrafopredeter"/>
    <w:uiPriority w:val="20"/>
    <w:qFormat/>
    <w:rsid w:val="00B8366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FE3025"/>
    <w:rPr>
      <w:color w:val="0000FF"/>
      <w:u w:val="single"/>
    </w:rPr>
  </w:style>
  <w:style w:type="character" w:styleId="nfasis">
    <w:name w:val="Emphasis"/>
    <w:basedOn w:val="Fuentedeprrafopredeter"/>
    <w:uiPriority w:val="20"/>
    <w:qFormat/>
    <w:rsid w:val="00B836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1027611">
      <w:bodyDiv w:val="1"/>
      <w:marLeft w:val="0"/>
      <w:marRight w:val="0"/>
      <w:marTop w:val="0"/>
      <w:marBottom w:val="0"/>
      <w:divBdr>
        <w:top w:val="none" w:sz="0" w:space="0" w:color="auto"/>
        <w:left w:val="none" w:sz="0" w:space="0" w:color="auto"/>
        <w:bottom w:val="none" w:sz="0" w:space="0" w:color="auto"/>
        <w:right w:val="none" w:sz="0" w:space="0" w:color="auto"/>
      </w:divBdr>
      <w:divsChild>
        <w:div w:id="1756709497">
          <w:marLeft w:val="0"/>
          <w:marRight w:val="0"/>
          <w:marTop w:val="150"/>
          <w:marBottom w:val="270"/>
          <w:divBdr>
            <w:top w:val="none" w:sz="0" w:space="0" w:color="auto"/>
            <w:left w:val="none" w:sz="0" w:space="0" w:color="auto"/>
            <w:bottom w:val="none" w:sz="0" w:space="0" w:color="auto"/>
            <w:right w:val="none" w:sz="0" w:space="0" w:color="auto"/>
          </w:divBdr>
          <w:divsChild>
            <w:div w:id="881751241">
              <w:marLeft w:val="0"/>
              <w:marRight w:val="0"/>
              <w:marTop w:val="0"/>
              <w:marBottom w:val="0"/>
              <w:divBdr>
                <w:top w:val="none" w:sz="0" w:space="0" w:color="auto"/>
                <w:left w:val="none" w:sz="0" w:space="0" w:color="auto"/>
                <w:bottom w:val="none" w:sz="0" w:space="0" w:color="auto"/>
                <w:right w:val="none" w:sz="0" w:space="0" w:color="auto"/>
              </w:divBdr>
            </w:div>
            <w:div w:id="1957982085">
              <w:marLeft w:val="0"/>
              <w:marRight w:val="0"/>
              <w:marTop w:val="0"/>
              <w:marBottom w:val="0"/>
              <w:divBdr>
                <w:top w:val="none" w:sz="0" w:space="0" w:color="auto"/>
                <w:left w:val="none" w:sz="0" w:space="0" w:color="auto"/>
                <w:bottom w:val="none" w:sz="0" w:space="0" w:color="auto"/>
                <w:right w:val="none" w:sz="0" w:space="0" w:color="auto"/>
              </w:divBdr>
            </w:div>
            <w:div w:id="1609465584">
              <w:marLeft w:val="0"/>
              <w:marRight w:val="0"/>
              <w:marTop w:val="0"/>
              <w:marBottom w:val="0"/>
              <w:divBdr>
                <w:top w:val="none" w:sz="0" w:space="0" w:color="auto"/>
                <w:left w:val="none" w:sz="0" w:space="0" w:color="auto"/>
                <w:bottom w:val="none" w:sz="0" w:space="0" w:color="auto"/>
                <w:right w:val="none" w:sz="0" w:space="0" w:color="auto"/>
              </w:divBdr>
            </w:div>
            <w:div w:id="1516915523">
              <w:marLeft w:val="0"/>
              <w:marRight w:val="0"/>
              <w:marTop w:val="0"/>
              <w:marBottom w:val="0"/>
              <w:divBdr>
                <w:top w:val="none" w:sz="0" w:space="0" w:color="auto"/>
                <w:left w:val="none" w:sz="0" w:space="0" w:color="auto"/>
                <w:bottom w:val="none" w:sz="0" w:space="0" w:color="auto"/>
                <w:right w:val="none" w:sz="0" w:space="0" w:color="auto"/>
              </w:divBdr>
            </w:div>
          </w:divsChild>
        </w:div>
        <w:div w:id="1018432251">
          <w:marLeft w:val="0"/>
          <w:marRight w:val="0"/>
          <w:marTop w:val="150"/>
          <w:marBottom w:val="270"/>
          <w:divBdr>
            <w:top w:val="none" w:sz="0" w:space="0" w:color="auto"/>
            <w:left w:val="none" w:sz="0" w:space="0" w:color="auto"/>
            <w:bottom w:val="none" w:sz="0" w:space="0" w:color="auto"/>
            <w:right w:val="none" w:sz="0" w:space="0" w:color="auto"/>
          </w:divBdr>
        </w:div>
        <w:div w:id="324555106">
          <w:marLeft w:val="0"/>
          <w:marRight w:val="0"/>
          <w:marTop w:val="150"/>
          <w:marBottom w:val="270"/>
          <w:divBdr>
            <w:top w:val="none" w:sz="0" w:space="0" w:color="auto"/>
            <w:left w:val="none" w:sz="0" w:space="0" w:color="auto"/>
            <w:bottom w:val="none" w:sz="0" w:space="0" w:color="auto"/>
            <w:right w:val="none" w:sz="0" w:space="0" w:color="auto"/>
          </w:divBdr>
          <w:divsChild>
            <w:div w:id="1238974996">
              <w:marLeft w:val="0"/>
              <w:marRight w:val="0"/>
              <w:marTop w:val="0"/>
              <w:marBottom w:val="0"/>
              <w:divBdr>
                <w:top w:val="none" w:sz="0" w:space="0" w:color="auto"/>
                <w:left w:val="none" w:sz="0" w:space="0" w:color="auto"/>
                <w:bottom w:val="none" w:sz="0" w:space="0" w:color="auto"/>
                <w:right w:val="none" w:sz="0" w:space="0" w:color="auto"/>
              </w:divBdr>
            </w:div>
          </w:divsChild>
        </w:div>
        <w:div w:id="836921085">
          <w:marLeft w:val="0"/>
          <w:marRight w:val="0"/>
          <w:marTop w:val="150"/>
          <w:marBottom w:val="270"/>
          <w:divBdr>
            <w:top w:val="none" w:sz="0" w:space="0" w:color="auto"/>
            <w:left w:val="none" w:sz="0" w:space="0" w:color="auto"/>
            <w:bottom w:val="none" w:sz="0" w:space="0" w:color="auto"/>
            <w:right w:val="none" w:sz="0" w:space="0" w:color="auto"/>
          </w:divBdr>
        </w:div>
        <w:div w:id="353921504">
          <w:marLeft w:val="0"/>
          <w:marRight w:val="0"/>
          <w:marTop w:val="150"/>
          <w:marBottom w:val="27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cbi.nlm.nih.gov/pubmed/2198209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381</Words>
  <Characters>2098</Characters>
  <Application>Microsoft Office Word</Application>
  <DocSecurity>0</DocSecurity>
  <Lines>17</Lines>
  <Paragraphs>4</Paragraphs>
  <ScaleCrop>false</ScaleCrop>
  <Company/>
  <LinksUpToDate>false</LinksUpToDate>
  <CharactersWithSpaces>2475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Iwami, Michiyo</dc:creator>
  <cp:keywords/>
  <dc:description/>
  <cp:lastModifiedBy>JONATHAN</cp:lastModifiedBy>
  <cp:revision>6</cp:revision>
  <dcterms:created xsi:type="dcterms:W3CDTF">2020-06-01T13:17:00Z</dcterms:created>
  <dcterms:modified xsi:type="dcterms:W3CDTF">2020-06-05T15:45:00Z</dcterms:modified>
</cp:coreProperties>
</file>