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5BDF5" w14:textId="3FAE1E7F" w:rsidR="002E6A2E" w:rsidRDefault="002E6A2E">
      <w:pPr>
        <w:rPr>
          <w:rFonts w:ascii="Calibri" w:hAnsi="Calibri"/>
        </w:rPr>
      </w:pPr>
      <w:r w:rsidRPr="00450932">
        <w:rPr>
          <w:rFonts w:ascii="Calibri" w:hAnsi="Calibri" w:cs="Arial"/>
          <w:shd w:val="clear" w:color="auto" w:fill="FFFFFF"/>
          <w:lang w:val="es-PE"/>
        </w:rPr>
        <w:t>Díaz JF, Verastegui M, Gilman RH, Tsang VCW, Pilcher JB, Gallo C, García HH, Torres P, Montenegro T, Miranda E, The Cysticercosis Working Group (CWG) in Peru: Castillo R, Alvarez M, Guevara A, Carcamo C, Herrera G, Evans C, Gonzáles, Castro M, Chavera A, Campos K, Delgado A, Chávez A, Bazalar H, Martínez M, Porras M, Alvarado M, Orrillo E, Palomino L, Escalante S, Alban G, Trelles L, Saavedra N, Velarde M, Cuba J, Soto M, Cabrera J, Campos P, Herrera E, Molina E, Yalan F, Alfaro J, Morote D, Rocca U, Castaneda M, Ayala M, Lescano M, Vasquez L, Riva N, Samaniego L, Matsuoka J.</w:t>
      </w:r>
      <w:r w:rsidRPr="00450932">
        <w:rPr>
          <w:rFonts w:ascii="Calibri" w:hAnsi="Calibri" w:cs="Arial"/>
          <w:lang w:val="es-PE"/>
        </w:rPr>
        <w:br/>
      </w:r>
      <w:r w:rsidRPr="00450932">
        <w:rPr>
          <w:rFonts w:ascii="Calibri" w:hAnsi="Calibri" w:cs="Arial"/>
          <w:u w:val="single"/>
          <w:bdr w:val="none" w:sz="0" w:space="0" w:color="auto" w:frame="1"/>
          <w:shd w:val="clear" w:color="auto" w:fill="FFFFFF"/>
          <w:lang w:val="es-PE"/>
        </w:rPr>
        <w:t>Inmunodiagnóstico de cisticercosis humana (Taenia solium): una comparación de campo de un ensayo de inmunoabsorción ligado a enzima anticuerpo (ELISA), un ELISA de antígeno y un ensayo de inmunoelectrotransferencia transferida a enzima (EITB) en Perú.</w:t>
      </w:r>
      <w:r w:rsidRPr="00450932">
        <w:rPr>
          <w:rFonts w:ascii="Calibri" w:hAnsi="Calibri" w:cs="Arial"/>
          <w:lang w:val="es-PE"/>
        </w:rPr>
        <w:br/>
      </w:r>
      <w:r w:rsidRPr="002E6A2E">
        <w:rPr>
          <w:rStyle w:val="nfasis"/>
          <w:rFonts w:ascii="Calibri" w:hAnsi="Calibri" w:cs="Arial"/>
          <w:bdr w:val="none" w:sz="0" w:space="0" w:color="auto" w:frame="1"/>
          <w:shd w:val="clear" w:color="auto" w:fill="FFFFFF"/>
        </w:rPr>
        <w:t>American Journal of Tropical Medicine and Hygiene</w:t>
      </w:r>
      <w:r w:rsidRPr="002E6A2E">
        <w:rPr>
          <w:rFonts w:ascii="Calibri" w:hAnsi="Calibri" w:cs="Arial"/>
          <w:shd w:val="clear" w:color="auto" w:fill="FFFFFF"/>
        </w:rPr>
        <w:t> 1992;46(5):610-5</w:t>
      </w:r>
      <w:r w:rsidRPr="002E6A2E">
        <w:rPr>
          <w:rFonts w:ascii="Calibri" w:hAnsi="Calibri" w:cs="Arial"/>
        </w:rPr>
        <w:br/>
      </w:r>
      <w:r>
        <w:rPr>
          <w:rFonts w:ascii="Calibri" w:hAnsi="Calibri" w:cs="Arial"/>
          <w:shd w:val="clear" w:color="auto" w:fill="FFFFFF"/>
        </w:rPr>
        <w:t>doi</w:t>
      </w:r>
      <w:r w:rsidRPr="002E6A2E">
        <w:rPr>
          <w:rFonts w:ascii="Calibri" w:hAnsi="Calibri" w:cs="Arial"/>
          <w:shd w:val="clear" w:color="auto" w:fill="FFFFFF"/>
        </w:rPr>
        <w:t>: </w:t>
      </w:r>
      <w:hyperlink r:id="rId5" w:history="1">
        <w:r w:rsidRPr="0001109A">
          <w:rPr>
            <w:rStyle w:val="Hipervnculo"/>
            <w:rFonts w:ascii="Calibri" w:hAnsi="Calibri" w:cs="Arial"/>
            <w:color w:val="auto"/>
            <w:u w:val="none"/>
            <w:bdr w:val="none" w:sz="0" w:space="0" w:color="auto" w:frame="1"/>
            <w:shd w:val="clear" w:color="auto" w:fill="FFFFFF"/>
          </w:rPr>
          <w:t>https://doi.org/10.4269/ajtmh.1992.46.610</w:t>
        </w:r>
      </w:hyperlink>
    </w:p>
    <w:p w14:paraId="67277146" w14:textId="6F317A4C" w:rsidR="002E6A2E" w:rsidRDefault="002E6A2E">
      <w:pPr>
        <w:rPr>
          <w:rFonts w:ascii="Calibri" w:hAnsi="Calibri"/>
        </w:rPr>
      </w:pPr>
    </w:p>
    <w:p w14:paraId="582D96B7" w14:textId="634FD53B" w:rsidR="002E6A2E" w:rsidRPr="00450932" w:rsidRDefault="002E6A2E" w:rsidP="002E6A2E">
      <w:pPr>
        <w:jc w:val="both"/>
        <w:rPr>
          <w:rFonts w:ascii="Calibri" w:hAnsi="Calibri"/>
          <w:lang w:val="es-PE"/>
        </w:rPr>
      </w:pPr>
      <w:r w:rsidRPr="00450932">
        <w:rPr>
          <w:rFonts w:ascii="Calibri" w:hAnsi="Calibri"/>
          <w:lang w:val="es-PE"/>
        </w:rPr>
        <w:t>Comparamos los resultados de un ensayo de inmunosorbente ligado a enzimas (ELISA) y un análisis de inmunoelectrotransferencia transferida a enzimas (EITB) para el diagnóstico de cisticercosis en suero y líquido cefalorraquídeo (LCR). Se analizaron sueros de 34 pacientes con cisticercosis confirmada mediante ensayos ELISA y EITB. El líquido cefalorraquídeo de algunos de estos pacientes también se analizó mediante ELISA para detectar la presencia de anticuerpos (AB-ELISA) (n = 21) y antígeno (AG-ELISA) (n = 15). La especificidad en suero se examinó analizando 51 muestras de suero de Bangladesh, donde la cisticercosis no es endémica. La reactividad cruzada se evaluó en sueros de pacientes con infecciones por Echinococcus granulosus (hidatídico) e Hymenolepis nana. La sensibilidad en la detección de cisticercosis en suero fue del 94% por EITB y del 65% por AB-ELISA (P &lt;0,01). Las sensibilidades en el LCR analizadas por EITB, AB-ELISA y AG-ELISA fueron 86%, 62% y 67%, respectivamente. La especificidad del EITB fue del 100%, mientras que la del AB-ELISA fue del 63% (P &lt;0,01). Se produjeron reacciones cruzadas en el AB-ELISA con 11% y 20% de sueros de pacientes hidatídicos y H. nana, respectivamente. Nuestros resultados demuestran que el EITB es el mejor ensayo disponible para el diagnóstico de cisticercosis tanto en suero como en LCR.</w:t>
      </w:r>
      <w:bookmarkStart w:id="0" w:name="_GoBack"/>
      <w:bookmarkEnd w:id="0"/>
    </w:p>
    <w:sectPr w:rsidR="002E6A2E" w:rsidRPr="00450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2E"/>
    <w:rsid w:val="0001109A"/>
    <w:rsid w:val="002E6A2E"/>
    <w:rsid w:val="00450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E6A2E"/>
    <w:rPr>
      <w:i/>
      <w:iCs/>
    </w:rPr>
  </w:style>
  <w:style w:type="character" w:styleId="Hipervnculo">
    <w:name w:val="Hyperlink"/>
    <w:basedOn w:val="Fuentedeprrafopredeter"/>
    <w:uiPriority w:val="99"/>
    <w:semiHidden/>
    <w:unhideWhenUsed/>
    <w:rsid w:val="002E6A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E6A2E"/>
    <w:rPr>
      <w:i/>
      <w:iCs/>
    </w:rPr>
  </w:style>
  <w:style w:type="character" w:styleId="Hipervnculo">
    <w:name w:val="Hyperlink"/>
    <w:basedOn w:val="Fuentedeprrafopredeter"/>
    <w:uiPriority w:val="99"/>
    <w:semiHidden/>
    <w:unhideWhenUsed/>
    <w:rsid w:val="002E6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4269/ajtmh.1992.46.6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1997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2020-06-02T13:32:00Z</dcterms:created>
  <dcterms:modified xsi:type="dcterms:W3CDTF">2020-06-05T16:11:00Z</dcterms:modified>
</cp:coreProperties>
</file>