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D6" w:rsidRPr="00B56DD6" w:rsidRDefault="00B56DD6" w:rsidP="00B56DD6">
      <w:pPr>
        <w:rPr>
          <w:rFonts w:ascii="Calibri" w:hAnsi="Calibri"/>
          <w:sz w:val="22"/>
          <w:szCs w:val="22"/>
        </w:rPr>
      </w:pPr>
      <w:r w:rsidRPr="00B56DD6">
        <w:rPr>
          <w:rFonts w:ascii="Calibri" w:hAnsi="Calibri" w:cs="Arial"/>
          <w:sz w:val="22"/>
          <w:szCs w:val="22"/>
          <w:shd w:val="clear" w:color="auto" w:fill="FFFFFF"/>
        </w:rPr>
        <w:t xml:space="preserve">Evans C, </w:t>
      </w:r>
      <w:proofErr w:type="spellStart"/>
      <w:r w:rsidRPr="00B56DD6">
        <w:rPr>
          <w:rFonts w:ascii="Calibri" w:hAnsi="Calibri" w:cs="Arial"/>
          <w:sz w:val="22"/>
          <w:szCs w:val="22"/>
          <w:shd w:val="clear" w:color="auto" w:fill="FFFFFF"/>
        </w:rPr>
        <w:t>Harbuz</w:t>
      </w:r>
      <w:proofErr w:type="spellEnd"/>
      <w:r w:rsidRPr="00B56DD6">
        <w:rPr>
          <w:rFonts w:ascii="Calibri" w:hAnsi="Calibri" w:cs="Arial"/>
          <w:sz w:val="22"/>
          <w:szCs w:val="22"/>
          <w:shd w:val="clear" w:color="auto" w:fill="FFFFFF"/>
        </w:rPr>
        <w:t xml:space="preserve"> MS, </w:t>
      </w:r>
      <w:proofErr w:type="spellStart"/>
      <w:r w:rsidRPr="00B56DD6">
        <w:rPr>
          <w:rFonts w:ascii="Calibri" w:hAnsi="Calibri" w:cs="Arial"/>
          <w:sz w:val="22"/>
          <w:szCs w:val="22"/>
          <w:shd w:val="clear" w:color="auto" w:fill="FFFFFF"/>
        </w:rPr>
        <w:t>Ostenfeld</w:t>
      </w:r>
      <w:proofErr w:type="spellEnd"/>
      <w:r w:rsidRPr="00B56DD6">
        <w:rPr>
          <w:rFonts w:ascii="Calibri" w:hAnsi="Calibri" w:cs="Arial"/>
          <w:sz w:val="22"/>
          <w:szCs w:val="22"/>
          <w:shd w:val="clear" w:color="auto" w:fill="FFFFFF"/>
        </w:rPr>
        <w:t xml:space="preserve"> T, Norrish AR, Blackwell JM.</w:t>
      </w:r>
      <w:r w:rsidRPr="00B56DD6">
        <w:rPr>
          <w:rFonts w:ascii="Calibri" w:hAnsi="Calibri" w:cs="Arial"/>
          <w:sz w:val="22"/>
          <w:szCs w:val="22"/>
        </w:rPr>
        <w:br/>
      </w:r>
      <w:r w:rsidRPr="00B56DD6">
        <w:rPr>
          <w:rFonts w:ascii="Calibri" w:hAnsi="Calibri" w:cs="Arial"/>
          <w:sz w:val="22"/>
          <w:szCs w:val="22"/>
          <w:u w:val="single"/>
          <w:bdr w:val="none" w:sz="0" w:space="0" w:color="auto" w:frame="1"/>
          <w:shd w:val="clear" w:color="auto" w:fill="FFFFFF"/>
        </w:rPr>
        <w:t xml:space="preserve">Nramp1 </w:t>
      </w:r>
      <w:r w:rsidR="00A4735E">
        <w:rPr>
          <w:rFonts w:ascii="Calibri" w:hAnsi="Calibri" w:cs="Arial"/>
          <w:sz w:val="22"/>
          <w:szCs w:val="22"/>
          <w:u w:val="single"/>
          <w:bdr w:val="none" w:sz="0" w:space="0" w:color="auto" w:frame="1"/>
          <w:shd w:val="clear" w:color="auto" w:fill="FFFFFF"/>
        </w:rPr>
        <w:t>is</w:t>
      </w:r>
      <w:r w:rsidRPr="00B56DD6">
        <w:rPr>
          <w:rFonts w:ascii="Calibri" w:hAnsi="Calibri" w:cs="Arial"/>
          <w:sz w:val="22"/>
          <w:szCs w:val="22"/>
          <w:u w:val="single"/>
          <w:bdr w:val="none" w:sz="0" w:space="0" w:color="auto" w:frame="1"/>
          <w:shd w:val="clear" w:color="auto" w:fill="FFFFFF"/>
        </w:rPr>
        <w:t xml:space="preserve"> expressed in neurones and influences behavioural and </w:t>
      </w:r>
      <w:proofErr w:type="spellStart"/>
      <w:r w:rsidRPr="00B56DD6">
        <w:rPr>
          <w:rFonts w:ascii="Calibri" w:hAnsi="Calibri" w:cs="Arial"/>
          <w:sz w:val="22"/>
          <w:szCs w:val="22"/>
          <w:u w:val="single"/>
          <w:bdr w:val="none" w:sz="0" w:space="0" w:color="auto" w:frame="1"/>
          <w:shd w:val="clear" w:color="auto" w:fill="FFFFFF"/>
        </w:rPr>
        <w:t>neuroimmune</w:t>
      </w:r>
      <w:proofErr w:type="spellEnd"/>
      <w:r w:rsidRPr="00B56DD6">
        <w:rPr>
          <w:rFonts w:ascii="Calibri" w:hAnsi="Calibri" w:cs="Arial"/>
          <w:sz w:val="22"/>
          <w:szCs w:val="22"/>
          <w:u w:val="single"/>
          <w:bdr w:val="none" w:sz="0" w:space="0" w:color="auto" w:frame="1"/>
          <w:shd w:val="clear" w:color="auto" w:fill="FFFFFF"/>
        </w:rPr>
        <w:t xml:space="preserve"> stress responses</w:t>
      </w:r>
      <w:r w:rsidRPr="00B56DD6">
        <w:rPr>
          <w:rFonts w:ascii="Calibri" w:hAnsi="Calibri" w:cs="Arial"/>
          <w:sz w:val="22"/>
          <w:szCs w:val="22"/>
        </w:rPr>
        <w:br/>
      </w:r>
      <w:r w:rsidRPr="00B56DD6">
        <w:rPr>
          <w:rFonts w:ascii="Calibri" w:hAnsi="Calibri" w:cs="Arial"/>
          <w:sz w:val="22"/>
          <w:szCs w:val="22"/>
          <w:shd w:val="clear" w:color="auto" w:fill="FFFFFF"/>
        </w:rPr>
        <w:t>Oral presentation P65a</w:t>
      </w:r>
      <w:r w:rsidRPr="00B56DD6">
        <w:rPr>
          <w:rFonts w:ascii="Calibri" w:hAnsi="Calibri" w:cs="Arial"/>
          <w:sz w:val="22"/>
          <w:szCs w:val="22"/>
        </w:rPr>
        <w:br/>
      </w:r>
      <w:r w:rsidRPr="00B56DD6">
        <w:rPr>
          <w:rFonts w:ascii="Calibri" w:hAnsi="Calibri" w:cs="Arial"/>
          <w:sz w:val="22"/>
          <w:szCs w:val="22"/>
          <w:shd w:val="clear" w:color="auto" w:fill="FFFFFF"/>
        </w:rPr>
        <w:t xml:space="preserve">In Proceedings of the 8th Annual Meeting of the </w:t>
      </w:r>
      <w:proofErr w:type="spellStart"/>
      <w:r w:rsidRPr="00B56DD6">
        <w:rPr>
          <w:rFonts w:ascii="Calibri" w:hAnsi="Calibri" w:cs="Arial"/>
          <w:sz w:val="22"/>
          <w:szCs w:val="22"/>
          <w:shd w:val="clear" w:color="auto" w:fill="FFFFFF"/>
        </w:rPr>
        <w:t>PsychoNeuroImmunology</w:t>
      </w:r>
      <w:proofErr w:type="spellEnd"/>
      <w:r w:rsidRPr="00B56DD6">
        <w:rPr>
          <w:rFonts w:ascii="Calibri" w:hAnsi="Calibri" w:cs="Arial"/>
          <w:sz w:val="22"/>
          <w:szCs w:val="22"/>
          <w:shd w:val="clear" w:color="auto" w:fill="FFFFFF"/>
        </w:rPr>
        <w:t xml:space="preserve"> Research Society (PNIRS) conference: 2001; Utrecht, The Netherlands.</w:t>
      </w:r>
      <w:r w:rsidRPr="00B56DD6">
        <w:rPr>
          <w:rFonts w:ascii="Calibri" w:hAnsi="Calibri" w:cs="Arial"/>
          <w:sz w:val="22"/>
          <w:szCs w:val="22"/>
        </w:rPr>
        <w:br/>
      </w:r>
      <w:r w:rsidRPr="00B56DD6">
        <w:rPr>
          <w:rStyle w:val="Emphasis"/>
          <w:rFonts w:ascii="Calibri" w:hAnsi="Calibri" w:cs="Arial"/>
          <w:i w:val="0"/>
          <w:sz w:val="22"/>
          <w:szCs w:val="22"/>
          <w:bdr w:val="none" w:sz="0" w:space="0" w:color="auto" w:frame="1"/>
          <w:shd w:val="clear" w:color="auto" w:fill="FFFFFF"/>
        </w:rPr>
        <w:t>Also published in:</w:t>
      </w:r>
      <w:r w:rsidRPr="00B56DD6">
        <w:rPr>
          <w:rStyle w:val="Emphasis"/>
          <w:rFonts w:ascii="Calibri" w:hAnsi="Calibri" w:cs="Arial"/>
          <w:sz w:val="22"/>
          <w:szCs w:val="22"/>
          <w:bdr w:val="none" w:sz="0" w:space="0" w:color="auto" w:frame="1"/>
          <w:shd w:val="clear" w:color="auto" w:fill="FFFFFF"/>
        </w:rPr>
        <w:t xml:space="preserve"> Journal of Infection</w:t>
      </w:r>
      <w:r w:rsidRPr="00B56DD6">
        <w:rPr>
          <w:rFonts w:ascii="Calibri" w:hAnsi="Calibri" w:cs="Arial"/>
          <w:sz w:val="22"/>
          <w:szCs w:val="22"/>
          <w:shd w:val="clear" w:color="auto" w:fill="FFFFFF"/>
        </w:rPr>
        <w:t> 2000</w:t>
      </w:r>
      <w:proofErr w:type="gramStart"/>
      <w:r w:rsidRPr="00B56DD6">
        <w:rPr>
          <w:rFonts w:ascii="Calibri" w:hAnsi="Calibri" w:cs="Arial"/>
          <w:sz w:val="22"/>
          <w:szCs w:val="22"/>
          <w:shd w:val="clear" w:color="auto" w:fill="FFFFFF"/>
        </w:rPr>
        <w:t>;40</w:t>
      </w:r>
      <w:proofErr w:type="gramEnd"/>
      <w:r w:rsidRPr="00B56DD6">
        <w:rPr>
          <w:rFonts w:ascii="Calibri" w:hAnsi="Calibri" w:cs="Arial"/>
          <w:sz w:val="22"/>
          <w:szCs w:val="22"/>
          <w:shd w:val="clear" w:color="auto" w:fill="FFFFFF"/>
        </w:rPr>
        <w:t xml:space="preserve">(2):A28. </w:t>
      </w:r>
      <w:proofErr w:type="spellStart"/>
      <w:proofErr w:type="gramStart"/>
      <w:r w:rsidRPr="00B56DD6">
        <w:rPr>
          <w:rFonts w:ascii="Calibri" w:hAnsi="Calibri" w:cs="Arial"/>
          <w:sz w:val="22"/>
          <w:szCs w:val="22"/>
          <w:shd w:val="clear" w:color="auto" w:fill="FFFFFF"/>
        </w:rPr>
        <w:t>doi</w:t>
      </w:r>
      <w:proofErr w:type="spellEnd"/>
      <w:proofErr w:type="gramEnd"/>
      <w:r w:rsidRPr="00B56DD6">
        <w:rPr>
          <w:rFonts w:ascii="Calibri" w:hAnsi="Calibri" w:cs="Arial"/>
          <w:sz w:val="22"/>
          <w:szCs w:val="22"/>
          <w:shd w:val="clear" w:color="auto" w:fill="FFFFFF"/>
        </w:rPr>
        <w:t>: </w:t>
      </w:r>
      <w:hyperlink r:id="rId4" w:history="1">
        <w:r w:rsidRPr="00B56DD6">
          <w:rPr>
            <w:rStyle w:val="Hyperlink"/>
            <w:rFonts w:ascii="Calibri" w:hAnsi="Calibri" w:cs="Arial"/>
            <w:sz w:val="22"/>
            <w:szCs w:val="22"/>
            <w:bdr w:val="none" w:sz="0" w:space="0" w:color="auto" w:frame="1"/>
            <w:shd w:val="clear" w:color="auto" w:fill="FFFFFF"/>
          </w:rPr>
          <w:t>https://doi.org/10.1016/S0163-4453(00)80109-7</w:t>
        </w:r>
      </w:hyperlink>
    </w:p>
    <w:p w:rsidR="00B56DD6" w:rsidRDefault="00B56DD6" w:rsidP="00FA2BDC"/>
    <w:p w:rsidR="00FA2BDC" w:rsidRDefault="00FA2BDC" w:rsidP="00FA2BDC">
      <w:bookmarkStart w:id="0" w:name="_GoBack"/>
      <w:bookmarkEnd w:id="0"/>
    </w:p>
    <w:p w:rsidR="00FA2BDC" w:rsidRPr="00FA2BDC" w:rsidRDefault="00FA2BDC" w:rsidP="00FA2BDC">
      <w:pPr>
        <w:rPr>
          <w:rFonts w:ascii="Arial" w:hAnsi="Arial" w:cs="Arial"/>
          <w:b/>
          <w:sz w:val="22"/>
          <w:szCs w:val="22"/>
        </w:rPr>
      </w:pPr>
      <w:r w:rsidRPr="00FA2BDC">
        <w:rPr>
          <w:rFonts w:ascii="Arial" w:hAnsi="Arial" w:cs="Arial"/>
          <w:b/>
          <w:sz w:val="22"/>
          <w:szCs w:val="22"/>
        </w:rPr>
        <w:t>Abstract</w:t>
      </w:r>
    </w:p>
    <w:p w:rsidR="00B56DD6" w:rsidRPr="00B56DD6" w:rsidRDefault="00B56DD6">
      <w:pPr>
        <w:pStyle w:val="Style2"/>
        <w:tabs>
          <w:tab w:val="left" w:pos="14601"/>
        </w:tabs>
        <w:ind w:left="0" w:right="-28" w:firstLine="567"/>
        <w:rPr>
          <w:szCs w:val="22"/>
        </w:rPr>
      </w:pPr>
    </w:p>
    <w:p w:rsidR="004C55BD" w:rsidRPr="00B56DD6" w:rsidRDefault="006319BA">
      <w:pPr>
        <w:pStyle w:val="Style2"/>
        <w:tabs>
          <w:tab w:val="left" w:pos="14601"/>
        </w:tabs>
        <w:ind w:left="0" w:right="-28" w:firstLine="567"/>
        <w:rPr>
          <w:rFonts w:ascii="Calibri" w:hAnsi="Calibri"/>
          <w:szCs w:val="22"/>
        </w:rPr>
      </w:pPr>
      <w:r w:rsidRPr="00B56DD6">
        <w:rPr>
          <w:rFonts w:ascii="Calibri" w:hAnsi="Calibri"/>
          <w:szCs w:val="22"/>
        </w:rPr>
        <w:t>Polymorphisms in the human Natural Resistance Associated Macrophage Protein (</w:t>
      </w:r>
      <w:r w:rsidRPr="00B56DD6">
        <w:rPr>
          <w:rFonts w:ascii="Calibri" w:hAnsi="Calibri"/>
          <w:i/>
          <w:szCs w:val="22"/>
        </w:rPr>
        <w:t>NRAMP1)</w:t>
      </w:r>
      <w:r w:rsidRPr="00B56DD6">
        <w:rPr>
          <w:rFonts w:ascii="Calibri" w:hAnsi="Calibri"/>
          <w:szCs w:val="22"/>
        </w:rPr>
        <w:t xml:space="preserve"> gene influence susceptibility to intracellular infections including tuberculosis.  A naturally occurring mutation in the murine </w:t>
      </w:r>
      <w:r w:rsidRPr="00B56DD6">
        <w:rPr>
          <w:rFonts w:ascii="Calibri" w:hAnsi="Calibri"/>
          <w:i/>
          <w:szCs w:val="22"/>
        </w:rPr>
        <w:t xml:space="preserve">Nramp1 </w:t>
      </w:r>
      <w:r w:rsidRPr="00B56DD6">
        <w:rPr>
          <w:rFonts w:ascii="Calibri" w:hAnsi="Calibri"/>
          <w:szCs w:val="22"/>
        </w:rPr>
        <w:t xml:space="preserve">gene has similar effects that are associated with impaired macrophage function.  We studied the response to restraint stress in mice congenic for this infection-susceptible mutation.  Infection-susceptible </w:t>
      </w:r>
      <w:r w:rsidRPr="00B56DD6">
        <w:rPr>
          <w:rFonts w:ascii="Calibri" w:hAnsi="Calibri"/>
          <w:i/>
          <w:szCs w:val="22"/>
        </w:rPr>
        <w:t>Nramp1</w:t>
      </w:r>
      <w:r w:rsidRPr="00B56DD6">
        <w:rPr>
          <w:rFonts w:ascii="Calibri" w:hAnsi="Calibri"/>
          <w:szCs w:val="22"/>
        </w:rPr>
        <w:t xml:space="preserve"> mutant mice had an attenuated behavioural response to restraint and destroyed (by chewing) significantly smaller areas of the plastic tubes used to restrain them than the congenic infection-resistant mice that had the wild-type </w:t>
      </w:r>
      <w:r w:rsidRPr="00B56DD6">
        <w:rPr>
          <w:rFonts w:ascii="Calibri" w:hAnsi="Calibri"/>
          <w:i/>
          <w:szCs w:val="22"/>
        </w:rPr>
        <w:t>Nramp1</w:t>
      </w:r>
      <w:r w:rsidRPr="00B56DD6">
        <w:rPr>
          <w:rFonts w:ascii="Calibri" w:hAnsi="Calibri"/>
          <w:szCs w:val="22"/>
        </w:rPr>
        <w:t xml:space="preserve"> gene.  </w:t>
      </w:r>
    </w:p>
    <w:p w:rsidR="004C55BD" w:rsidRPr="00B56DD6" w:rsidRDefault="006319BA">
      <w:pPr>
        <w:pStyle w:val="Style2"/>
        <w:tabs>
          <w:tab w:val="left" w:pos="14601"/>
        </w:tabs>
        <w:ind w:left="0" w:right="-28" w:firstLine="567"/>
        <w:rPr>
          <w:rFonts w:ascii="Calibri" w:hAnsi="Calibri"/>
          <w:szCs w:val="22"/>
        </w:rPr>
      </w:pPr>
      <w:r w:rsidRPr="00B56DD6">
        <w:rPr>
          <w:rFonts w:ascii="Calibri" w:hAnsi="Calibri"/>
          <w:szCs w:val="22"/>
        </w:rPr>
        <w:t xml:space="preserve">Infection-susceptible </w:t>
      </w:r>
      <w:r w:rsidRPr="00B56DD6">
        <w:rPr>
          <w:rFonts w:ascii="Calibri" w:hAnsi="Calibri"/>
          <w:i/>
          <w:szCs w:val="22"/>
        </w:rPr>
        <w:t>Nramp1</w:t>
      </w:r>
      <w:r w:rsidRPr="00B56DD6">
        <w:rPr>
          <w:rFonts w:ascii="Calibri" w:hAnsi="Calibri"/>
          <w:szCs w:val="22"/>
        </w:rPr>
        <w:t xml:space="preserve"> mice had larger adrenal glands and higher basal plasma corticosterone concentrations than infection-resistant mice.  When subjected to restraint stress, infection-susceptible mice had attenuated hypothalamic stress responses (assessed by corticotrophin releasing factor mRNA by semi-quantitative </w:t>
      </w:r>
      <w:r w:rsidRPr="00B56DD6">
        <w:rPr>
          <w:rFonts w:ascii="Calibri" w:hAnsi="Calibri"/>
          <w:i/>
          <w:szCs w:val="22"/>
        </w:rPr>
        <w:t xml:space="preserve">in situ </w:t>
      </w:r>
      <w:r w:rsidRPr="00B56DD6">
        <w:rPr>
          <w:rFonts w:ascii="Calibri" w:hAnsi="Calibri"/>
          <w:szCs w:val="22"/>
        </w:rPr>
        <w:t xml:space="preserve">hybridisation) and depressed corticosterone responses (measured in plasma by radioimmunoassay).  </w:t>
      </w:r>
      <w:r w:rsidRPr="00B56DD6">
        <w:rPr>
          <w:rFonts w:ascii="Calibri" w:hAnsi="Calibri"/>
          <w:i/>
          <w:szCs w:val="22"/>
        </w:rPr>
        <w:t>Nramp1</w:t>
      </w:r>
      <w:r w:rsidRPr="00B56DD6">
        <w:rPr>
          <w:rFonts w:ascii="Calibri" w:hAnsi="Calibri"/>
          <w:szCs w:val="22"/>
        </w:rPr>
        <w:t xml:space="preserve"> therefore influenced the behavioural and neuroendocrine responses to stress in addition to the well-known effects of this gene on macrophage anti-microbial activity.  Restraint stress prior to </w:t>
      </w:r>
      <w:r w:rsidRPr="00B56DD6">
        <w:rPr>
          <w:rFonts w:ascii="Calibri" w:hAnsi="Calibri"/>
          <w:i/>
          <w:szCs w:val="22"/>
        </w:rPr>
        <w:t>Toxoplasma gondii</w:t>
      </w:r>
      <w:r w:rsidRPr="00B56DD6">
        <w:rPr>
          <w:rFonts w:ascii="Calibri" w:hAnsi="Calibri"/>
          <w:szCs w:val="22"/>
        </w:rPr>
        <w:t xml:space="preserve"> infection caused significantly increased mortality in </w:t>
      </w:r>
      <w:r w:rsidRPr="00B56DD6">
        <w:rPr>
          <w:rFonts w:ascii="Calibri" w:hAnsi="Calibri"/>
          <w:i/>
          <w:szCs w:val="22"/>
        </w:rPr>
        <w:t>Nramp1</w:t>
      </w:r>
      <w:r w:rsidRPr="00B56DD6">
        <w:rPr>
          <w:rFonts w:ascii="Calibri" w:hAnsi="Calibri"/>
          <w:szCs w:val="22"/>
        </w:rPr>
        <w:t xml:space="preserve"> mutant but not wild type mice, suggesting that the neuroimmune functions of </w:t>
      </w:r>
      <w:r w:rsidRPr="00B56DD6">
        <w:rPr>
          <w:rFonts w:ascii="Calibri" w:hAnsi="Calibri"/>
          <w:i/>
          <w:szCs w:val="22"/>
        </w:rPr>
        <w:t>Nramp1</w:t>
      </w:r>
      <w:r w:rsidRPr="00B56DD6">
        <w:rPr>
          <w:rFonts w:ascii="Calibri" w:hAnsi="Calibri"/>
          <w:szCs w:val="22"/>
        </w:rPr>
        <w:t xml:space="preserve"> contribute to its effects on infectious disease susceptibility and severity.</w:t>
      </w:r>
    </w:p>
    <w:p w:rsidR="004C55BD" w:rsidRPr="00B56DD6" w:rsidRDefault="006319BA">
      <w:pPr>
        <w:pStyle w:val="Style2"/>
        <w:tabs>
          <w:tab w:val="left" w:pos="14601"/>
        </w:tabs>
        <w:ind w:left="0" w:right="-28" w:firstLine="567"/>
        <w:rPr>
          <w:rFonts w:ascii="Calibri" w:hAnsi="Calibri"/>
          <w:szCs w:val="22"/>
        </w:rPr>
      </w:pPr>
      <w:r w:rsidRPr="00B56DD6">
        <w:rPr>
          <w:rFonts w:ascii="Calibri" w:hAnsi="Calibri"/>
          <w:szCs w:val="22"/>
        </w:rPr>
        <w:t xml:space="preserve">Nramp1 expression is generally restricted to macrophages but triple fluorescence immunochemical staining of cultured embryonic brain cells and adult brain sections revealed Nramp1 protein in late endosomes and lysosomes within neurones as well as microglia, potentially explaining our findings. </w:t>
      </w:r>
    </w:p>
    <w:p w:rsidR="006319BA" w:rsidRPr="00B56DD6" w:rsidRDefault="006319BA">
      <w:pPr>
        <w:pStyle w:val="Style2"/>
        <w:tabs>
          <w:tab w:val="left" w:pos="14601"/>
        </w:tabs>
        <w:ind w:left="0" w:right="-28" w:firstLine="567"/>
        <w:rPr>
          <w:rFonts w:ascii="Calibri" w:hAnsi="Calibri"/>
          <w:szCs w:val="22"/>
        </w:rPr>
      </w:pPr>
      <w:r w:rsidRPr="00B56DD6">
        <w:rPr>
          <w:rFonts w:ascii="Calibri" w:hAnsi="Calibri"/>
          <w:szCs w:val="22"/>
        </w:rPr>
        <w:t>Nramp1 is therefore expressed in neurones and influences both behaviour and the neuro-immune response to stress.</w:t>
      </w:r>
    </w:p>
    <w:sectPr w:rsidR="006319BA" w:rsidRPr="00B56DD6" w:rsidSect="00FA2BDC">
      <w:pgSz w:w="11907" w:h="16840" w:code="9"/>
      <w:pgMar w:top="1440" w:right="1440" w:bottom="144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D6"/>
    <w:rsid w:val="004C55BD"/>
    <w:rsid w:val="006319BA"/>
    <w:rsid w:val="007064BB"/>
    <w:rsid w:val="00A4735E"/>
    <w:rsid w:val="00B56DD6"/>
    <w:rsid w:val="00FA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3B76C7-3663-43AE-8E42-88EBF1B9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pageBreakBefore/>
      <w:tabs>
        <w:tab w:val="left" w:pos="567"/>
        <w:tab w:val="left" w:pos="1134"/>
        <w:tab w:val="left" w:pos="1701"/>
        <w:tab w:val="left" w:pos="2268"/>
        <w:tab w:val="left" w:pos="2835"/>
        <w:tab w:val="left" w:pos="3402"/>
        <w:tab w:val="left" w:pos="3969"/>
      </w:tabs>
      <w:spacing w:after="240" w:line="480" w:lineRule="auto"/>
      <w:jc w:val="center"/>
      <w:outlineLvl w:val="0"/>
    </w:pPr>
    <w:rPr>
      <w:b/>
      <w:sz w:val="26"/>
    </w:rPr>
  </w:style>
  <w:style w:type="paragraph" w:styleId="Heading2">
    <w:name w:val="heading 2"/>
    <w:basedOn w:val="Normal"/>
    <w:next w:val="Normal"/>
    <w:qFormat/>
    <w:pPr>
      <w:keepNext/>
      <w:keepLines/>
      <w:tabs>
        <w:tab w:val="left" w:pos="567"/>
        <w:tab w:val="left" w:pos="1134"/>
        <w:tab w:val="left" w:pos="1701"/>
        <w:tab w:val="left" w:pos="2268"/>
        <w:tab w:val="left" w:pos="2835"/>
        <w:tab w:val="left" w:pos="3402"/>
        <w:tab w:val="left" w:pos="3969"/>
      </w:tabs>
      <w:spacing w:before="120" w:after="120" w:line="480" w:lineRule="auto"/>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567"/>
        <w:tab w:val="left" w:pos="1134"/>
        <w:tab w:val="left" w:pos="1701"/>
        <w:tab w:val="left" w:pos="2268"/>
        <w:tab w:val="left" w:pos="2835"/>
        <w:tab w:val="left" w:pos="3402"/>
        <w:tab w:val="left" w:pos="3969"/>
      </w:tabs>
      <w:spacing w:line="480" w:lineRule="auto"/>
      <w:ind w:firstLine="397"/>
      <w:jc w:val="both"/>
    </w:pPr>
    <w:rPr>
      <w:sz w:val="24"/>
    </w:rPr>
  </w:style>
  <w:style w:type="paragraph" w:customStyle="1" w:styleId="Style1">
    <w:name w:val="Style1"/>
    <w:basedOn w:val="Normal"/>
    <w:pPr>
      <w:tabs>
        <w:tab w:val="left" w:pos="1418"/>
        <w:tab w:val="left" w:pos="1985"/>
        <w:tab w:val="left" w:pos="2552"/>
        <w:tab w:val="left" w:pos="3119"/>
        <w:tab w:val="left" w:pos="3261"/>
        <w:tab w:val="left" w:pos="3686"/>
        <w:tab w:val="left" w:pos="4253"/>
        <w:tab w:val="left" w:pos="4820"/>
        <w:tab w:val="left" w:pos="5387"/>
        <w:tab w:val="left" w:pos="5954"/>
        <w:tab w:val="left" w:pos="6521"/>
        <w:tab w:val="left" w:pos="7088"/>
      </w:tabs>
      <w:ind w:left="8931" w:right="255"/>
      <w:jc w:val="both"/>
    </w:pPr>
    <w:rPr>
      <w:sz w:val="18"/>
      <w:vertAlign w:val="superscript"/>
    </w:rPr>
  </w:style>
  <w:style w:type="paragraph" w:customStyle="1" w:styleId="Style2">
    <w:name w:val="Style2"/>
    <w:basedOn w:val="Normal"/>
    <w:pPr>
      <w:ind w:left="8931" w:right="255"/>
      <w:jc w:val="both"/>
    </w:pPr>
    <w:rPr>
      <w:sz w:val="22"/>
    </w:rPr>
  </w:style>
  <w:style w:type="character" w:customStyle="1" w:styleId="Style3">
    <w:name w:val="Style3"/>
    <w:basedOn w:val="DefaultParagraphFont"/>
    <w:rPr>
      <w:rFonts w:ascii="Times New Roman" w:hAnsi="Times New Roman"/>
      <w:sz w:val="20"/>
      <w:vertAlign w:val="superscript"/>
    </w:rPr>
  </w:style>
  <w:style w:type="paragraph" w:styleId="BlockText">
    <w:name w:val="Block Text"/>
    <w:basedOn w:val="Normal"/>
    <w:semiHidden/>
    <w:pPr>
      <w:tabs>
        <w:tab w:val="left" w:pos="567"/>
        <w:tab w:val="left" w:pos="2268"/>
        <w:tab w:val="left" w:pos="2835"/>
        <w:tab w:val="left" w:pos="3402"/>
        <w:tab w:val="left" w:pos="3969"/>
      </w:tabs>
      <w:spacing w:line="480" w:lineRule="auto"/>
      <w:ind w:left="851" w:right="765" w:hanging="284"/>
      <w:jc w:val="both"/>
    </w:pPr>
    <w:rPr>
      <w:sz w:val="24"/>
    </w:rPr>
  </w:style>
  <w:style w:type="character" w:styleId="Emphasis">
    <w:name w:val="Emphasis"/>
    <w:uiPriority w:val="20"/>
    <w:qFormat/>
    <w:rsid w:val="00B56DD6"/>
    <w:rPr>
      <w:i/>
      <w:iCs/>
    </w:rPr>
  </w:style>
  <w:style w:type="character" w:styleId="Hyperlink">
    <w:name w:val="Hyperlink"/>
    <w:uiPriority w:val="99"/>
    <w:unhideWhenUsed/>
    <w:rsid w:val="00B56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S0163-4453(00)801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Toxoplasma gondii encephalitis in BCG congenic mice</vt:lpstr>
    </vt:vector>
  </TitlesOfParts>
  <Company>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Toxoplasma gondii encephalitis in BCG congenic mice</dc:title>
  <dc:subject>abstract for FIS 96</dc:subject>
  <dc:creator>Carlton Evans</dc:creator>
  <cp:keywords/>
  <dc:description>revised</dc:description>
  <cp:lastModifiedBy>I M</cp:lastModifiedBy>
  <cp:revision>4</cp:revision>
  <cp:lastPrinted>1999-09-30T19:06:00Z</cp:lastPrinted>
  <dcterms:created xsi:type="dcterms:W3CDTF">2020-06-24T08:42:00Z</dcterms:created>
  <dcterms:modified xsi:type="dcterms:W3CDTF">2020-06-24T10:49:00Z</dcterms:modified>
</cp:coreProperties>
</file>