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40FD1" w14:textId="5F43F8F1" w:rsidR="00ED52E5" w:rsidRPr="00C941BA" w:rsidRDefault="00ED52E5">
      <w:pPr>
        <w:rPr>
          <w:rFonts w:ascii="Calibri" w:hAnsi="Calibri"/>
          <w:lang w:val="en-GB"/>
        </w:rPr>
      </w:pPr>
      <w:r w:rsidRPr="00ED52E5">
        <w:rPr>
          <w:rFonts w:ascii="Calibri" w:hAnsi="Calibri" w:cs="Arial"/>
          <w:shd w:val="clear" w:color="auto" w:fill="FFFFFF"/>
        </w:rPr>
        <w:t>Evans CAW, Gonzalez AE, Gilman RH, Verastegui M, Garcia HH, Chavera A, Pilcher JB, Tsang VCW.</w:t>
      </w:r>
      <w:r w:rsidRPr="00ED52E5">
        <w:rPr>
          <w:rFonts w:ascii="Calibri" w:hAnsi="Calibri" w:cs="Arial"/>
        </w:rPr>
        <w:br/>
      </w:r>
      <w:r w:rsidRPr="00ED52E5">
        <w:rPr>
          <w:rFonts w:ascii="Calibri" w:hAnsi="Calibri" w:cs="Arial"/>
          <w:u w:val="single"/>
          <w:bdr w:val="none" w:sz="0" w:space="0" w:color="auto" w:frame="1"/>
          <w:shd w:val="clear" w:color="auto" w:fill="FFFFFF"/>
        </w:rPr>
        <w:t>Inmunoterapia para la cisticercosis porcina: implicaciones para la prevención de enfermedades humanas.</w:t>
      </w:r>
      <w:r w:rsidRPr="00ED52E5">
        <w:rPr>
          <w:rFonts w:ascii="Calibri" w:hAnsi="Calibri" w:cs="Arial"/>
        </w:rPr>
        <w:br/>
      </w:r>
      <w:r w:rsidRPr="00C941BA">
        <w:rPr>
          <w:rStyle w:val="nfasis"/>
          <w:rFonts w:ascii="Calibri" w:hAnsi="Calibri" w:cs="Arial"/>
          <w:bdr w:val="none" w:sz="0" w:space="0" w:color="auto" w:frame="1"/>
          <w:shd w:val="clear" w:color="auto" w:fill="FFFFFF"/>
          <w:lang w:val="en-GB"/>
        </w:rPr>
        <w:t>American Journal of Tropical Medicine and Hygiene</w:t>
      </w:r>
      <w:r w:rsidRPr="00C941BA">
        <w:rPr>
          <w:rFonts w:ascii="Calibri" w:hAnsi="Calibri" w:cs="Arial"/>
          <w:shd w:val="clear" w:color="auto" w:fill="FFFFFF"/>
          <w:lang w:val="en-GB"/>
        </w:rPr>
        <w:t xml:space="preserve"> 1997;56(1):33-7. </w:t>
      </w:r>
      <w:r w:rsidRPr="00C941BA">
        <w:rPr>
          <w:rFonts w:ascii="Calibri" w:hAnsi="Calibri" w:cs="Segoe UI"/>
          <w:shd w:val="clear" w:color="auto" w:fill="FFFFFF"/>
          <w:lang w:val="en-GB"/>
        </w:rPr>
        <w:t>doi: 10.4269/ajtmh.1997.56.33.</w:t>
      </w:r>
      <w:r w:rsidRPr="00C941BA">
        <w:rPr>
          <w:rFonts w:ascii="Calibri" w:hAnsi="Calibri" w:cs="Arial"/>
          <w:lang w:val="en-GB"/>
        </w:rPr>
        <w:br/>
      </w:r>
      <w:r w:rsidRPr="00C941BA">
        <w:rPr>
          <w:rFonts w:ascii="Calibri" w:hAnsi="Calibri" w:cs="Arial"/>
          <w:shd w:val="clear" w:color="auto" w:fill="FFFFFF"/>
          <w:lang w:val="en-GB"/>
        </w:rPr>
        <w:t>Acceso abierto: </w:t>
      </w:r>
      <w:bookmarkStart w:id="0" w:name="_GoBack"/>
      <w:r w:rsidR="00980900" w:rsidRPr="00980900">
        <w:fldChar w:fldCharType="begin"/>
      </w:r>
      <w:r w:rsidR="00980900" w:rsidRPr="00980900">
        <w:rPr>
          <w:lang w:val="en-GB"/>
        </w:rPr>
        <w:instrText xml:space="preserve"> HYPERLINK "https://www.ncbi.nlm.nih.gov/pubmed/9063358" </w:instrText>
      </w:r>
      <w:r w:rsidR="00980900" w:rsidRPr="00980900">
        <w:fldChar w:fldCharType="separate"/>
      </w:r>
      <w:r w:rsidRPr="00980900">
        <w:rPr>
          <w:rStyle w:val="Hipervnculo"/>
          <w:rFonts w:ascii="Calibri" w:hAnsi="Calibri" w:cs="Arial"/>
          <w:color w:val="auto"/>
          <w:u w:val="none"/>
          <w:bdr w:val="none" w:sz="0" w:space="0" w:color="auto" w:frame="1"/>
          <w:shd w:val="clear" w:color="auto" w:fill="FFFFFF"/>
          <w:lang w:val="en-GB"/>
        </w:rPr>
        <w:t>https://www.ncbi.nlm.nih.gov/pubmed/9063358</w:t>
      </w:r>
      <w:r w:rsidR="00980900" w:rsidRPr="00980900">
        <w:rPr>
          <w:rStyle w:val="Hipervnculo"/>
          <w:rFonts w:ascii="Calibri" w:hAnsi="Calibri" w:cs="Arial"/>
          <w:color w:val="auto"/>
          <w:u w:val="none"/>
          <w:bdr w:val="none" w:sz="0" w:space="0" w:color="auto" w:frame="1"/>
          <w:shd w:val="clear" w:color="auto" w:fill="FFFFFF"/>
          <w:lang w:val="en-GB"/>
        </w:rPr>
        <w:fldChar w:fldCharType="end"/>
      </w:r>
      <w:bookmarkEnd w:id="0"/>
    </w:p>
    <w:p w14:paraId="00EFB409" w14:textId="06DA6CC7" w:rsidR="00ED52E5" w:rsidRPr="00C941BA" w:rsidRDefault="00ED52E5">
      <w:pPr>
        <w:rPr>
          <w:rFonts w:ascii="Calibri" w:hAnsi="Calibri"/>
          <w:lang w:val="en-GB"/>
        </w:rPr>
      </w:pPr>
    </w:p>
    <w:p w14:paraId="4E7C00E2" w14:textId="77777777" w:rsidR="00ED52E5" w:rsidRPr="00ED52E5" w:rsidRDefault="00ED52E5" w:rsidP="00ED52E5">
      <w:pPr>
        <w:rPr>
          <w:rFonts w:ascii="Arial" w:hAnsi="Arial" w:cs="Arial"/>
          <w:b/>
          <w:bCs/>
        </w:rPr>
      </w:pPr>
      <w:r w:rsidRPr="00ED52E5">
        <w:rPr>
          <w:rFonts w:ascii="Arial" w:hAnsi="Arial" w:cs="Arial"/>
          <w:b/>
          <w:bCs/>
        </w:rPr>
        <w:t>Resumen</w:t>
      </w:r>
    </w:p>
    <w:p w14:paraId="048BC7EB" w14:textId="063ACC53" w:rsidR="00ED52E5" w:rsidRPr="00ED52E5" w:rsidRDefault="00ED52E5" w:rsidP="00ED52E5">
      <w:pPr>
        <w:jc w:val="both"/>
        <w:rPr>
          <w:rFonts w:ascii="Calibri" w:hAnsi="Calibri"/>
        </w:rPr>
      </w:pPr>
      <w:r w:rsidRPr="00ED52E5">
        <w:rPr>
          <w:rFonts w:ascii="Calibri" w:hAnsi="Calibri"/>
        </w:rPr>
        <w:t>La cisticercosis de Taenia solium es una causa importante de enfermedad humana en muchos países en desarrollo. La cisticercosis porcina es un vínculo vital en la transmisión de esta enfermedad y perjudica la producción de carne. Un tratamiento para la cisticercosis porcina puede ser una forma efectiva de prevenir enfermedades humanas que también beneficiaría a los criadores de cerdos, facilitando programas de control en regiones endémicas de enfermedades. Investigaciones previas sugieren que la reinfección con cisticercosis o la inmunoterapia con antígenos cisticercales puede causar degeneración de cisticercos, lo que puede curar la cisticercosis porcina. Por lo tanto, se realizó un estudio ciego, aleatorizado y controlado para evaluar la eficacia y seguridad de la inmunoterapia en 28 cerdos parasitados naturalmente. Cuatro grupos de cerdos con pesos similares se inocularon dos veces con antígenos cisticercales enriquecidos con membrana (MA), solución salina, antígenos cisticercales crudos solubles en agua (AA) en adyuvante (Freund's completo y luego incompleto), o adyuvante solo. La inmunoterapia fue bien tolerada, pero no tuvo un efecto constante sobre la apariencia macroscópica de cisticercos o recuento de eosinófilos. Los hallazgos histopatológicos fueron variables, con reacciones inflamatorias severas y mínimas observadas en cisticercos adyacentes en todos los cerdos. Nueve (64%) de 14 cerdos que recibieron inmunoterapia desarrollaron nuevas bandas de anticuerpos en la transferencia de electroinmunotransferencia en comparación con uno (7%) de 14 cerdos de control (P &lt;0.01). El tratamiento con AA en adyuvante provocó un aumento significativo en la proporción de cisticercos que no se evaginaron y, por lo tanto, no fueron viables para infectar a los humanos (34% para cerdos que recibieron AA en adyuvante en comparación con 10% para adyuvante solo; P &lt;0.04). Aunque la inmunoterapia causó una disminución estadísticamente significativa en la viabilidad de los cisticercos, esta reacción inmunológica no fue lo suficientemente grande como para prevenir la enfermedad humana.</w:t>
      </w:r>
    </w:p>
    <w:sectPr w:rsidR="00ED52E5" w:rsidRPr="00ED5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E5"/>
    <w:rsid w:val="00980900"/>
    <w:rsid w:val="00C941BA"/>
    <w:rsid w:val="00ED52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D52E5"/>
    <w:rPr>
      <w:i/>
      <w:iCs/>
    </w:rPr>
  </w:style>
  <w:style w:type="character" w:styleId="Hipervnculo">
    <w:name w:val="Hyperlink"/>
    <w:basedOn w:val="Fuentedeprrafopredeter"/>
    <w:uiPriority w:val="99"/>
    <w:semiHidden/>
    <w:unhideWhenUsed/>
    <w:rsid w:val="00ED52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D52E5"/>
    <w:rPr>
      <w:i/>
      <w:iCs/>
    </w:rPr>
  </w:style>
  <w:style w:type="character" w:styleId="Hipervnculo">
    <w:name w:val="Hyperlink"/>
    <w:basedOn w:val="Fuentedeprrafopredeter"/>
    <w:uiPriority w:val="99"/>
    <w:semiHidden/>
    <w:unhideWhenUsed/>
    <w:rsid w:val="00ED5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2142</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3</cp:revision>
  <dcterms:created xsi:type="dcterms:W3CDTF">2020-06-02T12:27:00Z</dcterms:created>
  <dcterms:modified xsi:type="dcterms:W3CDTF">2020-06-05T17:22:00Z</dcterms:modified>
</cp:coreProperties>
</file>