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69612" w14:textId="2D8B122F" w:rsidR="00302C5F" w:rsidRPr="004934BE" w:rsidRDefault="00302C5F">
      <w:pPr>
        <w:rPr>
          <w:rFonts w:ascii="Calibri" w:hAnsi="Calibri"/>
          <w:lang w:val="en-GB"/>
        </w:rPr>
      </w:pPr>
      <w:r w:rsidRPr="00302C5F">
        <w:rPr>
          <w:rFonts w:ascii="Calibri" w:hAnsi="Calibri" w:cs="Arial"/>
          <w:shd w:val="clear" w:color="auto" w:fill="FFFFFF"/>
        </w:rPr>
        <w:t>The Cysticercosis Working Group in Peru: García HH, Díaz F, Miranda E, Naranjo J, Herrera G, Carcamo C, Verastegui M, Montenegro T, Alvarez M, Torres MP, Tsang V, Pilcher J, Chevera A, Delgado A, Lozada J, Henderson P, Armas F, Rodríguez T, Evans CA, Vasquez L, Cama V.</w:t>
      </w:r>
      <w:r w:rsidRPr="00302C5F">
        <w:rPr>
          <w:rFonts w:ascii="Calibri" w:hAnsi="Calibri" w:cs="Arial"/>
        </w:rPr>
        <w:br/>
      </w:r>
      <w:r w:rsidRPr="00302C5F">
        <w:rPr>
          <w:rFonts w:ascii="Calibri" w:hAnsi="Calibri" w:cs="Arial"/>
          <w:u w:val="single"/>
          <w:bdr w:val="none" w:sz="0" w:space="0" w:color="auto" w:frame="1"/>
          <w:shd w:val="clear" w:color="auto" w:fill="FFFFFF"/>
        </w:rPr>
        <w:t>La comercialización de cerdos cisticercóticos en la sierra del Perú.</w:t>
      </w:r>
      <w:r w:rsidRPr="00302C5F">
        <w:rPr>
          <w:rFonts w:ascii="Calibri" w:hAnsi="Calibri" w:cs="Arial"/>
        </w:rPr>
        <w:br/>
      </w:r>
      <w:r w:rsidRPr="004934BE">
        <w:rPr>
          <w:rStyle w:val="nfasis"/>
          <w:rFonts w:ascii="Calibri" w:hAnsi="Calibri" w:cs="Arial"/>
          <w:bdr w:val="none" w:sz="0" w:space="0" w:color="auto" w:frame="1"/>
          <w:shd w:val="clear" w:color="auto" w:fill="FFFFFF"/>
          <w:lang w:val="en-GB"/>
        </w:rPr>
        <w:t>Bulletin of the World Health Organization</w:t>
      </w:r>
      <w:r w:rsidRPr="004934BE">
        <w:rPr>
          <w:rFonts w:ascii="Calibri" w:hAnsi="Calibri" w:cs="Arial"/>
          <w:shd w:val="clear" w:color="auto" w:fill="FFFFFF"/>
          <w:lang w:val="en-GB"/>
        </w:rPr>
        <w:t> 1993;71(2):223-8.</w:t>
      </w:r>
      <w:r w:rsidRPr="004934BE">
        <w:rPr>
          <w:rFonts w:ascii="Calibri" w:hAnsi="Calibri" w:cs="Arial"/>
          <w:lang w:val="en-GB"/>
        </w:rPr>
        <w:br/>
      </w:r>
      <w:r w:rsidRPr="004934BE">
        <w:rPr>
          <w:rFonts w:ascii="Calibri" w:hAnsi="Calibri" w:cs="Arial"/>
          <w:shd w:val="clear" w:color="auto" w:fill="FFFFFF"/>
          <w:lang w:val="en-GB"/>
        </w:rPr>
        <w:t>Acceso abierto: </w:t>
      </w:r>
      <w:hyperlink r:id="rId5" w:history="1">
        <w:r w:rsidRPr="00A36F90">
          <w:rPr>
            <w:rStyle w:val="Hipervnculo"/>
            <w:rFonts w:ascii="Calibri" w:hAnsi="Calibri" w:cs="Arial"/>
            <w:color w:val="auto"/>
            <w:u w:val="none"/>
            <w:bdr w:val="none" w:sz="0" w:space="0" w:color="auto" w:frame="1"/>
            <w:shd w:val="clear" w:color="auto" w:fill="FFFFFF"/>
            <w:lang w:val="en-GB"/>
          </w:rPr>
          <w:t>www.ncbi.nlm.nih.gov/pubmed/8490986</w:t>
        </w:r>
      </w:hyperlink>
      <w:r w:rsidRPr="004934BE">
        <w:rPr>
          <w:rFonts w:ascii="Calibri" w:hAnsi="Calibri" w:cs="Arial"/>
          <w:lang w:val="en-GB"/>
        </w:rPr>
        <w:br/>
      </w:r>
      <w:r w:rsidRPr="004934BE">
        <w:rPr>
          <w:rFonts w:ascii="Calibri" w:hAnsi="Calibri" w:cs="Arial"/>
          <w:shd w:val="clear" w:color="auto" w:fill="FFFFFF"/>
          <w:lang w:val="en-GB"/>
        </w:rPr>
        <w:t>Acceso abierto alternativo: </w:t>
      </w:r>
      <w:hyperlink r:id="rId6" w:history="1">
        <w:r w:rsidRPr="00A36F90">
          <w:rPr>
            <w:rStyle w:val="Hipervnculo"/>
            <w:rFonts w:ascii="Calibri" w:hAnsi="Calibri" w:cs="Arial"/>
            <w:color w:val="auto"/>
            <w:u w:val="none"/>
            <w:bdr w:val="none" w:sz="0" w:space="0" w:color="auto" w:frame="1"/>
            <w:shd w:val="clear" w:color="auto" w:fill="FFFFFF"/>
            <w:lang w:val="en-GB"/>
          </w:rPr>
          <w:t>http://www.who.int/iris/handle/10665/47798</w:t>
        </w:r>
      </w:hyperlink>
    </w:p>
    <w:p w14:paraId="5BBDFC8F" w14:textId="228ED836" w:rsidR="00302C5F" w:rsidRPr="004934BE" w:rsidRDefault="00302C5F">
      <w:pPr>
        <w:rPr>
          <w:lang w:val="en-GB"/>
        </w:rPr>
      </w:pPr>
    </w:p>
    <w:p w14:paraId="5D09566C" w14:textId="0A74AE3B" w:rsidR="00302C5F" w:rsidRPr="00302C5F" w:rsidRDefault="00302C5F">
      <w:pPr>
        <w:rPr>
          <w:rFonts w:ascii="Arial" w:hAnsi="Arial" w:cs="Arial"/>
          <w:b/>
          <w:bCs/>
        </w:rPr>
      </w:pPr>
      <w:r w:rsidRPr="00302C5F">
        <w:rPr>
          <w:rFonts w:ascii="Arial" w:hAnsi="Arial" w:cs="Arial"/>
          <w:b/>
          <w:bCs/>
        </w:rPr>
        <w:t>Resumen</w:t>
      </w:r>
      <w:bookmarkStart w:id="0" w:name="_GoBack"/>
      <w:bookmarkEnd w:id="0"/>
    </w:p>
    <w:p w14:paraId="28FABF47" w14:textId="77777777" w:rsidR="00302C5F" w:rsidRDefault="00302C5F" w:rsidP="00302C5F">
      <w:pPr>
        <w:jc w:val="both"/>
      </w:pPr>
      <w:r>
        <w:t>En Perú, la carne de cerdo suministrada a través de mataderos regulados se limita principalmente a las grandes ciudades de la costa. Aproximadamente el 65% de la carne de cerdo consumida en el país se obtiene a través de canales informales que no se inspeccionan ni supervisan. Las vías a través de las cuales se comercializan los cerdos se estudiaron en Huancayo, una ciudad en la Sierra peruana donde la cisticercosis es endémica. Se revisaron los registros oficiales de compra, matanza y mercado. Además, se realizaron encuestas directas y observación participante en dos mercados locales de cerdos vivos y en dos mercados informales de carne.</w:t>
      </w:r>
    </w:p>
    <w:p w14:paraId="6238190B" w14:textId="3688C4D6" w:rsidR="00302C5F" w:rsidRDefault="00302C5F" w:rsidP="00302C5F">
      <w:pPr>
        <w:jc w:val="both"/>
      </w:pPr>
      <w:r>
        <w:t>Los cerdos no fueron procesados ​​en mataderos locales; en cambio, fueron masacrados informalmente. La proporción de cerdos cisticercóticos detectados por el examen de la lengua varió del 14% al 25% del total vendido. Dado que los cerdos cisticercóticos y la carne de cerdo se venden a través de mercados informales, las encuestas de mataderos y mercados de carne no son una forma confiable de monitorear la prevalencia de cisticercosis porcina en Perú. Estimamos que el 48% de la carne de cerdo que se comercializa de manera informal y el 23% de la carne de cerdo total consumida en Huancayo proviene de cerdos infectados con cisticercosis.</w:t>
      </w:r>
    </w:p>
    <w:sectPr w:rsidR="00302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5F"/>
    <w:rsid w:val="00302C5F"/>
    <w:rsid w:val="004934BE"/>
    <w:rsid w:val="00A36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02C5F"/>
    <w:rPr>
      <w:i/>
      <w:iCs/>
    </w:rPr>
  </w:style>
  <w:style w:type="character" w:styleId="Hipervnculo">
    <w:name w:val="Hyperlink"/>
    <w:basedOn w:val="Fuentedeprrafopredeter"/>
    <w:uiPriority w:val="99"/>
    <w:semiHidden/>
    <w:unhideWhenUsed/>
    <w:rsid w:val="00302C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302C5F"/>
    <w:rPr>
      <w:i/>
      <w:iCs/>
    </w:rPr>
  </w:style>
  <w:style w:type="character" w:styleId="Hipervnculo">
    <w:name w:val="Hyperlink"/>
    <w:basedOn w:val="Fuentedeprrafopredeter"/>
    <w:uiPriority w:val="99"/>
    <w:semiHidden/>
    <w:unhideWhenUsed/>
    <w:rsid w:val="00302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ho.int/iris/handle/10665/47798" TargetMode="External"/><Relationship Id="rId5" Type="http://schemas.openxmlformats.org/officeDocument/2006/relationships/hyperlink" Target="http://www.ncbi.nlm.nih.gov/pubmed/84909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1640</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2020-06-02T13:21:00Z</dcterms:created>
  <dcterms:modified xsi:type="dcterms:W3CDTF">2020-06-05T17:27:00Z</dcterms:modified>
</cp:coreProperties>
</file>