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C8D4E" w14:textId="37B2D9FB" w:rsidR="007E01FB" w:rsidRPr="007E01FB" w:rsidRDefault="007E01FB" w:rsidP="007E01FB">
      <w:pPr>
        <w:pStyle w:val="NormalWeb"/>
        <w:spacing w:before="0" w:beforeAutospacing="0" w:after="0" w:afterAutospacing="0"/>
        <w:rPr>
          <w:rFonts w:ascii="Calibri" w:hAnsi="Calibri" w:cs="Arial"/>
          <w:sz w:val="22"/>
          <w:szCs w:val="22"/>
        </w:rPr>
      </w:pPr>
      <w:r w:rsidRPr="007E01FB">
        <w:rPr>
          <w:rFonts w:ascii="Calibri" w:hAnsi="Calibri" w:cs="Arial"/>
          <w:sz w:val="22"/>
          <w:szCs w:val="22"/>
        </w:rPr>
        <w:t>García HH, Gilman RH, Tovar MA, Flores E, Jo R, Tsang VCW, Díaz F, Torres P, Miranda E, The Cysticercosis Working Group (CWG) in Peru: Narano J, Herrera G, Verastegui M, Madico G, Montenegro T, Matsuoka J, Gonzáles AE, Gavidia C, Pilcher J, Evans C, Guerron A, Boero J, Kacena K, Huffman L, Altamirano J, Martínez M, Alvarado M, Porras M, Orrillo E, Alban G, Trelles L, Escalante S, Palomino L, Saavedra N, Cuba J, Estrada H, Soto M, Terashima A, Cabrera J, Campos P, Rocca U.</w:t>
      </w:r>
      <w:r w:rsidRPr="007E01FB">
        <w:rPr>
          <w:rFonts w:ascii="Calibri" w:hAnsi="Calibri" w:cs="Arial"/>
          <w:sz w:val="22"/>
          <w:szCs w:val="22"/>
        </w:rPr>
        <w:br/>
      </w:r>
      <w:r w:rsidRPr="007E01FB">
        <w:rPr>
          <w:rFonts w:ascii="Calibri" w:hAnsi="Calibri" w:cs="Arial"/>
          <w:sz w:val="22"/>
          <w:szCs w:val="22"/>
          <w:u w:val="single"/>
          <w:bdr w:val="none" w:sz="0" w:space="0" w:color="auto" w:frame="1"/>
        </w:rPr>
        <w:t>Factores asociados con la cisticercosis de Taenia solium: análisis de novecientos cuarenta y seis pacientes neurológicos peruanos.</w:t>
      </w:r>
      <w:r w:rsidRPr="007E01FB">
        <w:rPr>
          <w:rFonts w:ascii="Calibri" w:hAnsi="Calibri" w:cs="Arial"/>
          <w:sz w:val="22"/>
          <w:szCs w:val="22"/>
        </w:rPr>
        <w:br/>
      </w:r>
      <w:r w:rsidRPr="007E01FB">
        <w:rPr>
          <w:rStyle w:val="nfasis"/>
          <w:rFonts w:ascii="Calibri" w:hAnsi="Calibri" w:cs="Arial"/>
          <w:sz w:val="22"/>
          <w:szCs w:val="22"/>
          <w:bdr w:val="none" w:sz="0" w:space="0" w:color="auto" w:frame="1"/>
        </w:rPr>
        <w:t>American Journal of Tropical Medicine and Hygiene</w:t>
      </w:r>
      <w:r w:rsidRPr="007E01FB">
        <w:rPr>
          <w:rFonts w:ascii="Calibri" w:hAnsi="Calibri" w:cs="Arial"/>
          <w:sz w:val="22"/>
          <w:szCs w:val="22"/>
        </w:rPr>
        <w:t xml:space="preserve"> 1995;52(2):145-8. </w:t>
      </w:r>
      <w:r w:rsidRPr="007E01FB">
        <w:rPr>
          <w:rFonts w:ascii="Calibri" w:hAnsi="Calibri" w:cs="Segoe UI"/>
          <w:sz w:val="22"/>
          <w:szCs w:val="22"/>
          <w:shd w:val="clear" w:color="auto" w:fill="FFFFFF"/>
        </w:rPr>
        <w:t>doi: 10.4269/ajtmh.1995.52.145.</w:t>
      </w:r>
    </w:p>
    <w:p w14:paraId="76834BFC" w14:textId="77777777" w:rsidR="007E01FB" w:rsidRPr="007E01FB" w:rsidRDefault="007E01FB" w:rsidP="007E01FB">
      <w:pPr>
        <w:pStyle w:val="NormalWeb"/>
        <w:spacing w:after="300"/>
        <w:rPr>
          <w:rFonts w:ascii="Arial" w:hAnsi="Arial" w:cs="Arial"/>
          <w:b/>
          <w:bCs/>
          <w:sz w:val="22"/>
          <w:szCs w:val="22"/>
        </w:rPr>
      </w:pPr>
      <w:r w:rsidRPr="007E01FB">
        <w:rPr>
          <w:rFonts w:ascii="Arial" w:hAnsi="Arial" w:cs="Arial"/>
          <w:b/>
          <w:bCs/>
          <w:sz w:val="22"/>
          <w:szCs w:val="22"/>
        </w:rPr>
        <w:t>Resumen</w:t>
      </w:r>
    </w:p>
    <w:p w14:paraId="622F0EFF" w14:textId="2606E993" w:rsidR="007E01FB" w:rsidRPr="007E01FB" w:rsidRDefault="007E01FB" w:rsidP="007E01FB">
      <w:pPr>
        <w:pStyle w:val="NormalWeb"/>
        <w:spacing w:before="0" w:beforeAutospacing="0" w:after="300" w:afterAutospacing="0"/>
        <w:jc w:val="both"/>
        <w:rPr>
          <w:rFonts w:ascii="Calibri" w:hAnsi="Calibri" w:cs="Arial"/>
          <w:sz w:val="22"/>
          <w:szCs w:val="22"/>
        </w:rPr>
      </w:pPr>
      <w:r w:rsidRPr="007E01FB">
        <w:rPr>
          <w:rFonts w:ascii="Calibri" w:hAnsi="Calibri" w:cs="Arial"/>
          <w:sz w:val="22"/>
          <w:szCs w:val="22"/>
        </w:rPr>
        <w:t>En la mayoría de los países en desarrollo, el 10% de los casos neurológicos agudos son pacientes con neurocisticercosis (NCC). Determinar factores específicos asociados con la contratación de NCC facilitará su diagnóstico y prevención. Exami</w:t>
      </w:r>
      <w:bookmarkStart w:id="0" w:name="_GoBack"/>
      <w:bookmarkEnd w:id="0"/>
      <w:r w:rsidRPr="007E01FB">
        <w:rPr>
          <w:rFonts w:ascii="Calibri" w:hAnsi="Calibri" w:cs="Arial"/>
          <w:sz w:val="22"/>
          <w:szCs w:val="22"/>
        </w:rPr>
        <w:t>namos múltiples características socioeconómicas, demográficas, ambientales, médicas y de comportamiento de 946 pacientes neurológicos peruanos para una correlación con NCC, que fue diagnosticada por la transferencia de electroinmunotransferencia altamente específica y sensible (EITB) o ensayo de inmunotransferencia. El 18% (172 de 932) de las muestras de suero y el 28% (101 de 362) de las muestras de líquido cefalorraquídeo fueron positivas para EITB. La proporción de personas positivas para EITB fue similar para todos los niveles socioeconómicos. Los factores significativos asociados con el NCC fueron: 1) haber nacido fuera de Lima, 2) haber criado cerdos, 3) tener más de 20 años de edad, 4) antecedentes de convulsiones y 5) antecedentes de teniasis. De estos factores, la cría de cerdos es la única susceptible de intervención, a través de mejoras en la cría de animales.</w:t>
      </w:r>
    </w:p>
    <w:p w14:paraId="5B409407" w14:textId="77777777" w:rsidR="007E01FB" w:rsidRDefault="007E01FB"/>
    <w:sectPr w:rsidR="007E0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B"/>
    <w:rsid w:val="007E01FB"/>
    <w:rsid w:val="007F24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8BEC"/>
  <w15:chartTrackingRefBased/>
  <w15:docId w15:val="{03249BD6-E2EA-49A6-B2FC-77FF2BDF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01F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E01FB"/>
    <w:rPr>
      <w:i/>
      <w:iCs/>
    </w:rPr>
  </w:style>
  <w:style w:type="character" w:styleId="Hipervnculo">
    <w:name w:val="Hyperlink"/>
    <w:basedOn w:val="Fuentedeprrafopredeter"/>
    <w:uiPriority w:val="99"/>
    <w:unhideWhenUsed/>
    <w:rsid w:val="007E01FB"/>
    <w:rPr>
      <w:color w:val="0563C1" w:themeColor="hyperlink"/>
      <w:u w:val="single"/>
    </w:rPr>
  </w:style>
  <w:style w:type="character" w:customStyle="1" w:styleId="UnresolvedMention">
    <w:name w:val="Unresolved Mention"/>
    <w:basedOn w:val="Fuentedeprrafopredeter"/>
    <w:uiPriority w:val="99"/>
    <w:semiHidden/>
    <w:unhideWhenUsed/>
    <w:rsid w:val="007E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1559</Characters>
  <Application>Microsoft Office Word</Application>
  <DocSecurity>0</DocSecurity>
  <Lines>12</Lines>
  <Paragraphs>3</Paragraphs>
  <ScaleCrop>false</ScaleCrop>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2</cp:revision>
  <dcterms:created xsi:type="dcterms:W3CDTF">2020-06-02T12:40:00Z</dcterms:created>
  <dcterms:modified xsi:type="dcterms:W3CDTF">2020-06-04T01:27:00Z</dcterms:modified>
</cp:coreProperties>
</file>