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207CE" w14:textId="327D8EA8" w:rsidR="005D0C58" w:rsidRPr="0003049F" w:rsidRDefault="005D0C58">
      <w:pPr>
        <w:rPr>
          <w:rFonts w:ascii="Calibri" w:hAnsi="Calibri" w:cs="Calibri"/>
          <w:lang w:val="en-GB"/>
        </w:rPr>
      </w:pPr>
      <w:bookmarkStart w:id="0" w:name="_Hlk41923214"/>
      <w:bookmarkStart w:id="1" w:name="_GoBack"/>
      <w:bookmarkEnd w:id="1"/>
      <w:r w:rsidRPr="0003049F">
        <w:rPr>
          <w:rFonts w:ascii="Calibri" w:hAnsi="Calibri" w:cs="Calibri"/>
          <w:shd w:val="clear" w:color="auto" w:fill="FFFFFF"/>
          <w:lang w:val="en-GB"/>
        </w:rPr>
        <w:t>Hargreaves JR, Boccia D, Evans CA, Addato M, Petticrew M, Porter JD.</w:t>
      </w:r>
      <w:r w:rsidRPr="0003049F">
        <w:rPr>
          <w:rFonts w:ascii="Calibri" w:hAnsi="Calibri" w:cs="Calibri"/>
          <w:lang w:val="en-GB"/>
        </w:rPr>
        <w:br/>
      </w:r>
      <w:r w:rsidR="00827F52" w:rsidRPr="00D52000">
        <w:rPr>
          <w:rStyle w:val="nfasis"/>
          <w:rFonts w:ascii="Calibri" w:hAnsi="Calibri" w:cs="Calibri"/>
          <w:i w:val="0"/>
          <w:iCs w:val="0"/>
          <w:u w:val="single"/>
          <w:bdr w:val="none" w:sz="0" w:space="0" w:color="auto" w:frame="1"/>
          <w:shd w:val="clear" w:color="auto" w:fill="FFFFFF"/>
        </w:rPr>
        <w:t>Los determinantes sociales de la tuberculosis: de la evidencia a la acción</w:t>
      </w:r>
      <w:r w:rsidRPr="005D0C58">
        <w:rPr>
          <w:rStyle w:val="nfasis"/>
          <w:rFonts w:ascii="Calibri" w:hAnsi="Calibri" w:cs="Calibri"/>
          <w:i w:val="0"/>
          <w:iCs w:val="0"/>
          <w:bdr w:val="none" w:sz="0" w:space="0" w:color="auto" w:frame="1"/>
          <w:shd w:val="clear" w:color="auto" w:fill="FFFFFF"/>
        </w:rPr>
        <w:t>.</w:t>
      </w:r>
      <w:r w:rsidRPr="005D0C58">
        <w:rPr>
          <w:rFonts w:ascii="Calibri" w:hAnsi="Calibri" w:cs="Calibri"/>
          <w:i/>
          <w:iCs/>
        </w:rPr>
        <w:br/>
      </w:r>
      <w:r w:rsidRPr="0003049F">
        <w:rPr>
          <w:rStyle w:val="nfasis"/>
          <w:rFonts w:ascii="Calibri" w:hAnsi="Calibri" w:cs="Calibri"/>
          <w:bdr w:val="none" w:sz="0" w:space="0" w:color="auto" w:frame="1"/>
          <w:shd w:val="clear" w:color="auto" w:fill="FFFFFF"/>
          <w:lang w:val="en-GB"/>
        </w:rPr>
        <w:t>American Journal of Public Health</w:t>
      </w:r>
      <w:r w:rsidRPr="0003049F">
        <w:rPr>
          <w:rFonts w:ascii="Calibri" w:hAnsi="Calibri" w:cs="Calibri"/>
          <w:shd w:val="clear" w:color="auto" w:fill="FFFFFF"/>
          <w:lang w:val="en-GB"/>
        </w:rPr>
        <w:t> 2011;101(4):654-62. doi: 10.2105/AJPH.2010.199505.</w:t>
      </w:r>
      <w:r w:rsidRPr="0003049F">
        <w:rPr>
          <w:rFonts w:ascii="Calibri" w:hAnsi="Calibri" w:cs="Calibri"/>
          <w:lang w:val="en-GB"/>
        </w:rPr>
        <w:br/>
      </w:r>
      <w:r w:rsidRPr="0003049F">
        <w:rPr>
          <w:rFonts w:ascii="Calibri" w:hAnsi="Calibri" w:cs="Calibri"/>
          <w:shd w:val="clear" w:color="auto" w:fill="FFFFFF"/>
          <w:lang w:val="en-GB"/>
        </w:rPr>
        <w:t>Open access: </w:t>
      </w:r>
      <w:hyperlink r:id="rId4" w:history="1">
        <w:r w:rsidRPr="0003049F">
          <w:rPr>
            <w:rStyle w:val="Hipervnculo"/>
            <w:rFonts w:ascii="Calibri" w:hAnsi="Calibri" w:cs="Calibri"/>
            <w:color w:val="auto"/>
            <w:bdr w:val="none" w:sz="0" w:space="0" w:color="auto" w:frame="1"/>
            <w:shd w:val="clear" w:color="auto" w:fill="FFFFFF"/>
            <w:lang w:val="en-GB"/>
          </w:rPr>
          <w:t>http://www.ncbi.nlm.nih.gov/pubmed/21330583</w:t>
        </w:r>
      </w:hyperlink>
    </w:p>
    <w:bookmarkEnd w:id="0"/>
    <w:p w14:paraId="15D69322" w14:textId="63D7397E" w:rsidR="008E0735" w:rsidRPr="0003049F" w:rsidRDefault="008E0735">
      <w:pPr>
        <w:rPr>
          <w:rFonts w:ascii="Calibri" w:hAnsi="Calibri" w:cs="Calibri"/>
          <w:lang w:val="en-GB"/>
        </w:rPr>
      </w:pPr>
    </w:p>
    <w:p w14:paraId="13E06EC9" w14:textId="77777777" w:rsidR="008E0735" w:rsidRPr="008E0735" w:rsidRDefault="008E0735" w:rsidP="008E0735">
      <w:pPr>
        <w:rPr>
          <w:rFonts w:ascii="Arial" w:hAnsi="Arial" w:cs="Arial"/>
          <w:b/>
          <w:bCs/>
        </w:rPr>
      </w:pPr>
      <w:r w:rsidRPr="008E0735">
        <w:rPr>
          <w:rFonts w:ascii="Arial" w:hAnsi="Arial" w:cs="Arial"/>
          <w:b/>
          <w:bCs/>
        </w:rPr>
        <w:t>Resumen</w:t>
      </w:r>
    </w:p>
    <w:p w14:paraId="52C5952D" w14:textId="2406D3F6" w:rsidR="008E0735" w:rsidRPr="005D0C58" w:rsidRDefault="008E0735" w:rsidP="008E0735">
      <w:pPr>
        <w:jc w:val="both"/>
        <w:rPr>
          <w:rFonts w:ascii="Calibri" w:hAnsi="Calibri" w:cs="Calibri"/>
        </w:rPr>
      </w:pPr>
      <w:r w:rsidRPr="008E0735">
        <w:rPr>
          <w:rFonts w:ascii="Calibri" w:hAnsi="Calibri" w:cs="Calibri"/>
        </w:rPr>
        <w:t>El creciente consenso indica que el progreso en el control de la tuberculosis en el mundo de ingresos bajos y medios requerirá no solo inversiones para fortalecer los programas de control de la tuberculosis, diagnósticos y tratamiento, sino también acciones sobre los determinantes sociales de la tuberculosis. Sin embargo, las ideas prácticas para la acción son más escasas que el apoyo teórico para esta idea. Desarrollamos un marco basado en la reciente Comisión de la Organización Mundial de la Salud sobre Determinantes Sociales de la Salud y en la comprensión actual de los determinantes sociales de la tuberculosis. Las intervenciones externas al sector de la salud, específicamente en protección social y planificación urbana, tienen el potencial de fortalecer el control de la tuberculosis.</w:t>
      </w:r>
    </w:p>
    <w:sectPr w:rsidR="008E0735" w:rsidRPr="005D0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58"/>
    <w:rsid w:val="0003049F"/>
    <w:rsid w:val="005D0C58"/>
    <w:rsid w:val="00827F52"/>
    <w:rsid w:val="008E0735"/>
    <w:rsid w:val="00D520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050"/>
  <w15:chartTrackingRefBased/>
  <w15:docId w15:val="{CA1C4036-A394-4BE0-84AA-A7E615CD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D0C58"/>
    <w:rPr>
      <w:i/>
      <w:iCs/>
    </w:rPr>
  </w:style>
  <w:style w:type="character" w:styleId="Hipervnculo">
    <w:name w:val="Hyperlink"/>
    <w:basedOn w:val="Fuentedeprrafopredeter"/>
    <w:uiPriority w:val="99"/>
    <w:semiHidden/>
    <w:unhideWhenUsed/>
    <w:rsid w:val="005D0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ubmed/21330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979</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5</cp:revision>
  <dcterms:created xsi:type="dcterms:W3CDTF">2020-06-01T13:51:00Z</dcterms:created>
  <dcterms:modified xsi:type="dcterms:W3CDTF">2020-06-04T00:14:00Z</dcterms:modified>
</cp:coreProperties>
</file>