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395" w:rsidRPr="00E4556F" w:rsidRDefault="00F53395" w:rsidP="00F53395">
      <w:pPr>
        <w:keepNext/>
        <w:keepLines/>
        <w:spacing w:before="240" w:after="0"/>
        <w:jc w:val="center"/>
        <w:outlineLvl w:val="0"/>
        <w:rPr>
          <w:rFonts w:ascii="Arial" w:eastAsia="Cambria" w:hAnsi="Arial" w:cs="Arial"/>
          <w:b/>
          <w:sz w:val="21"/>
          <w:szCs w:val="21"/>
          <w:lang w:val="en-GB"/>
        </w:rPr>
      </w:pPr>
      <w:bookmarkStart w:id="0" w:name="_Toc238724019"/>
      <w:r w:rsidRPr="00E4556F">
        <w:rPr>
          <w:rFonts w:ascii="Arial" w:eastAsia="Cambria" w:hAnsi="Arial" w:cs="Arial"/>
          <w:b/>
          <w:sz w:val="21"/>
          <w:szCs w:val="21"/>
          <w:lang w:val="en-GB"/>
        </w:rPr>
        <w:t>Determinants of microcredit outcome among TB-affected households: results from the ISIAT project</w:t>
      </w:r>
      <w:bookmarkEnd w:id="0"/>
    </w:p>
    <w:p w:rsidR="00F53395" w:rsidRPr="00E4556F" w:rsidRDefault="00F53395" w:rsidP="00F53395">
      <w:pPr>
        <w:rPr>
          <w:rFonts w:cstheme="minorHAnsi"/>
          <w:lang w:val="en-GB"/>
        </w:rPr>
      </w:pPr>
    </w:p>
    <w:p w:rsidR="00F53395" w:rsidRPr="00E4556F" w:rsidRDefault="00F53395" w:rsidP="00F53395">
      <w:pPr>
        <w:spacing w:line="240" w:lineRule="auto"/>
        <w:rPr>
          <w:rFonts w:eastAsia="Cambria" w:cstheme="minorHAnsi"/>
        </w:rPr>
      </w:pPr>
      <w:r w:rsidRPr="00E4556F">
        <w:rPr>
          <w:rFonts w:eastAsia="Cambria" w:cstheme="minorHAnsi"/>
        </w:rPr>
        <w:t>Jason P Kahn</w:t>
      </w:r>
      <w:r w:rsidRPr="00E4556F">
        <w:rPr>
          <w:rFonts w:eastAsia="Cambria" w:cstheme="minorHAnsi"/>
          <w:vertAlign w:val="superscript"/>
        </w:rPr>
        <w:t>1</w:t>
      </w:r>
      <w:r w:rsidRPr="00E4556F">
        <w:rPr>
          <w:rFonts w:eastAsia="Cambria" w:cstheme="minorHAnsi"/>
        </w:rPr>
        <w:t>, Delia Boccia</w:t>
      </w:r>
      <w:r w:rsidRPr="00E4556F">
        <w:rPr>
          <w:rFonts w:eastAsia="Cambria" w:cstheme="minorHAnsi"/>
          <w:vertAlign w:val="superscript"/>
        </w:rPr>
        <w:t>2</w:t>
      </w:r>
      <w:r w:rsidRPr="00E4556F">
        <w:rPr>
          <w:rFonts w:eastAsia="Cambria" w:cstheme="minorHAnsi"/>
        </w:rPr>
        <w:t xml:space="preserve">, </w:t>
      </w:r>
      <w:r w:rsidRPr="00E4556F">
        <w:rPr>
          <w:rFonts w:eastAsia="Cambria" w:cstheme="minorHAnsi"/>
          <w:bCs/>
        </w:rPr>
        <w:t>F Diego Concha</w:t>
      </w:r>
      <w:r w:rsidRPr="00E4556F">
        <w:rPr>
          <w:rFonts w:eastAsia="Cambria" w:cstheme="minorHAnsi"/>
          <w:vertAlign w:val="superscript"/>
        </w:rPr>
        <w:t>3</w:t>
      </w:r>
      <w:r w:rsidRPr="00E4556F">
        <w:rPr>
          <w:rFonts w:eastAsia="Cambria" w:cstheme="minorHAnsi"/>
        </w:rPr>
        <w:t>, Claudio Rocha</w:t>
      </w:r>
      <w:r w:rsidRPr="00E4556F">
        <w:rPr>
          <w:rFonts w:eastAsia="Cambria" w:cstheme="minorHAnsi"/>
          <w:vertAlign w:val="superscript"/>
        </w:rPr>
        <w:t>1</w:t>
      </w:r>
      <w:proofErr w:type="gramStart"/>
      <w:r w:rsidRPr="00E4556F">
        <w:rPr>
          <w:rFonts w:eastAsia="Cambria" w:cstheme="minorHAnsi"/>
          <w:vertAlign w:val="superscript"/>
        </w:rPr>
        <w:t>,5</w:t>
      </w:r>
      <w:proofErr w:type="gramEnd"/>
      <w:r w:rsidRPr="00E4556F">
        <w:rPr>
          <w:rFonts w:eastAsia="Cambria" w:cstheme="minorHAnsi"/>
        </w:rPr>
        <w:t>, Rosario Montoya</w:t>
      </w:r>
      <w:r w:rsidRPr="00E4556F">
        <w:rPr>
          <w:rFonts w:eastAsia="Cambria" w:cstheme="minorHAnsi"/>
          <w:vertAlign w:val="superscript"/>
        </w:rPr>
        <w:t>1</w:t>
      </w:r>
      <w:r w:rsidRPr="00E4556F">
        <w:rPr>
          <w:rFonts w:eastAsia="Cambria" w:cstheme="minorHAnsi"/>
        </w:rPr>
        <w:t xml:space="preserve">, </w:t>
      </w:r>
      <w:proofErr w:type="spellStart"/>
      <w:r w:rsidRPr="00E4556F">
        <w:rPr>
          <w:rFonts w:eastAsia="Cambria" w:cstheme="minorHAnsi"/>
        </w:rPr>
        <w:t>Willi</w:t>
      </w:r>
      <w:proofErr w:type="spellEnd"/>
      <w:r w:rsidRPr="00E4556F">
        <w:rPr>
          <w:rFonts w:eastAsia="Cambria" w:cstheme="minorHAnsi"/>
        </w:rPr>
        <w:t xml:space="preserve"> Ynga</w:t>
      </w:r>
      <w:r w:rsidRPr="00E4556F">
        <w:rPr>
          <w:rFonts w:eastAsia="Cambria" w:cstheme="minorHAnsi"/>
          <w:vertAlign w:val="superscript"/>
        </w:rPr>
        <w:t>1</w:t>
      </w:r>
      <w:r w:rsidRPr="00E4556F">
        <w:rPr>
          <w:rFonts w:eastAsia="Cambria" w:cstheme="minorHAnsi"/>
        </w:rPr>
        <w:t>, Marco A Tovar</w:t>
      </w:r>
      <w:r w:rsidRPr="00E4556F">
        <w:rPr>
          <w:rFonts w:eastAsia="Cambria" w:cstheme="minorHAnsi"/>
          <w:vertAlign w:val="superscript"/>
        </w:rPr>
        <w:t>1</w:t>
      </w:r>
      <w:r w:rsidRPr="00E4556F">
        <w:rPr>
          <w:rFonts w:eastAsia="Cambria" w:cstheme="minorHAnsi"/>
        </w:rPr>
        <w:t xml:space="preserve">, </w:t>
      </w:r>
      <w:r w:rsidRPr="00E4556F">
        <w:rPr>
          <w:rFonts w:eastAsia="Cambria" w:cstheme="minorHAnsi"/>
          <w:u w:val="single"/>
        </w:rPr>
        <w:t>Carlton A Evans</w:t>
      </w:r>
      <w:r w:rsidRPr="00E4556F">
        <w:rPr>
          <w:rFonts w:eastAsia="Cambria" w:cstheme="minorHAnsi"/>
          <w:vertAlign w:val="superscript"/>
        </w:rPr>
        <w:t>1,4</w:t>
      </w:r>
    </w:p>
    <w:p w:rsidR="00F53395" w:rsidRPr="00E4556F" w:rsidRDefault="00F53395" w:rsidP="00F53395">
      <w:pPr>
        <w:numPr>
          <w:ilvl w:val="0"/>
          <w:numId w:val="1"/>
        </w:numPr>
        <w:spacing w:line="240" w:lineRule="auto"/>
        <w:contextualSpacing/>
        <w:rPr>
          <w:rFonts w:eastAsia="Cambria" w:cstheme="minorHAnsi"/>
          <w:lang w:val="en-GB"/>
        </w:rPr>
      </w:pPr>
      <w:r w:rsidRPr="00E4556F">
        <w:rPr>
          <w:rFonts w:eastAsia="Cambria" w:cstheme="minorHAnsi"/>
          <w:lang w:val="en-GB"/>
        </w:rPr>
        <w:t xml:space="preserve">IFHAD: Innovation for Health And Development, Universidad Peruana </w:t>
      </w:r>
      <w:proofErr w:type="spellStart"/>
      <w:r w:rsidRPr="00E4556F">
        <w:rPr>
          <w:rFonts w:eastAsia="Cambria" w:cstheme="minorHAnsi"/>
          <w:lang w:val="en-GB"/>
        </w:rPr>
        <w:t>Cayetano</w:t>
      </w:r>
      <w:proofErr w:type="spellEnd"/>
      <w:r w:rsidRPr="00E4556F">
        <w:rPr>
          <w:rFonts w:eastAsia="Cambria" w:cstheme="minorHAnsi"/>
          <w:lang w:val="en-GB"/>
        </w:rPr>
        <w:t xml:space="preserve"> Heredia, Lima, Peru</w:t>
      </w:r>
    </w:p>
    <w:p w:rsidR="00F53395" w:rsidRPr="00E4556F" w:rsidRDefault="00F53395" w:rsidP="00F53395">
      <w:pPr>
        <w:numPr>
          <w:ilvl w:val="0"/>
          <w:numId w:val="1"/>
        </w:numPr>
        <w:spacing w:line="240" w:lineRule="auto"/>
        <w:contextualSpacing/>
        <w:rPr>
          <w:rFonts w:eastAsia="Cambria" w:cstheme="minorHAnsi"/>
          <w:lang w:val="en-GB"/>
        </w:rPr>
      </w:pPr>
      <w:r w:rsidRPr="00E4556F">
        <w:rPr>
          <w:rFonts w:eastAsia="Cambria" w:cstheme="minorHAnsi"/>
          <w:lang w:val="en-GB"/>
        </w:rPr>
        <w:t xml:space="preserve">Faculty of Epidemiology &amp; Population Health, </w:t>
      </w:r>
      <w:proofErr w:type="spellStart"/>
      <w:r w:rsidRPr="00E4556F">
        <w:rPr>
          <w:rFonts w:eastAsia="Cambria" w:cstheme="minorHAnsi"/>
          <w:lang w:val="en-GB"/>
        </w:rPr>
        <w:t>Dept</w:t>
      </w:r>
      <w:proofErr w:type="spellEnd"/>
      <w:r w:rsidRPr="00E4556F">
        <w:rPr>
          <w:rFonts w:eastAsia="Cambria" w:cstheme="minorHAnsi"/>
          <w:lang w:val="en-GB"/>
        </w:rPr>
        <w:t xml:space="preserve"> Infectious Disease Epidemiology, London School of Hygiene and Tropical Medicine</w:t>
      </w:r>
    </w:p>
    <w:p w:rsidR="00F53395" w:rsidRPr="00E4556F" w:rsidRDefault="00F53395" w:rsidP="00F53395">
      <w:pPr>
        <w:numPr>
          <w:ilvl w:val="0"/>
          <w:numId w:val="1"/>
        </w:numPr>
        <w:spacing w:line="240" w:lineRule="auto"/>
        <w:contextualSpacing/>
        <w:rPr>
          <w:rFonts w:eastAsia="Cambria" w:cstheme="minorHAnsi"/>
          <w:lang w:val="en-GB"/>
        </w:rPr>
      </w:pPr>
      <w:proofErr w:type="spellStart"/>
      <w:r w:rsidRPr="00E4556F">
        <w:rPr>
          <w:rFonts w:eastAsia="Cambria" w:cstheme="minorHAnsi"/>
          <w:lang w:val="en-GB"/>
        </w:rPr>
        <w:t>Microfinanzas</w:t>
      </w:r>
      <w:proofErr w:type="spellEnd"/>
      <w:r w:rsidRPr="00E4556F">
        <w:rPr>
          <w:rFonts w:eastAsia="Cambria" w:cstheme="minorHAnsi"/>
          <w:lang w:val="en-GB"/>
        </w:rPr>
        <w:t xml:space="preserve"> PRISMA, Lima, Peru</w:t>
      </w:r>
    </w:p>
    <w:p w:rsidR="00F53395" w:rsidRPr="00E4556F" w:rsidRDefault="00F53395" w:rsidP="00F53395">
      <w:pPr>
        <w:numPr>
          <w:ilvl w:val="0"/>
          <w:numId w:val="1"/>
        </w:numPr>
        <w:spacing w:line="240" w:lineRule="auto"/>
        <w:contextualSpacing/>
        <w:rPr>
          <w:rFonts w:eastAsia="Cambria" w:cstheme="minorHAnsi"/>
          <w:lang w:val="en-GB"/>
        </w:rPr>
      </w:pPr>
      <w:r w:rsidRPr="00E4556F">
        <w:rPr>
          <w:rFonts w:eastAsia="Cambria" w:cstheme="minorHAnsi"/>
          <w:lang w:val="en-GB"/>
        </w:rPr>
        <w:t xml:space="preserve">Infectious Diseases &amp; Immunity, Imperial College London, and </w:t>
      </w:r>
      <w:proofErr w:type="spellStart"/>
      <w:r w:rsidRPr="00E4556F">
        <w:rPr>
          <w:rFonts w:eastAsia="Cambria" w:cstheme="minorHAnsi"/>
          <w:lang w:val="en-GB"/>
        </w:rPr>
        <w:t>Wellcome</w:t>
      </w:r>
      <w:proofErr w:type="spellEnd"/>
      <w:r w:rsidRPr="00E4556F">
        <w:rPr>
          <w:rFonts w:eastAsia="Cambria" w:cstheme="minorHAnsi"/>
          <w:lang w:val="en-GB"/>
        </w:rPr>
        <w:t xml:space="preserve"> Trust Imperial College Centre for Global Health Research, London, UK</w:t>
      </w:r>
    </w:p>
    <w:p w:rsidR="00F53395" w:rsidRPr="00E4556F" w:rsidRDefault="00F53395" w:rsidP="00F53395">
      <w:pPr>
        <w:numPr>
          <w:ilvl w:val="0"/>
          <w:numId w:val="1"/>
        </w:numPr>
        <w:spacing w:line="240" w:lineRule="auto"/>
        <w:contextualSpacing/>
        <w:rPr>
          <w:rFonts w:eastAsia="Cambria" w:cstheme="minorHAnsi"/>
          <w:lang w:val="en-GB"/>
        </w:rPr>
      </w:pPr>
      <w:r w:rsidRPr="00E4556F">
        <w:rPr>
          <w:rFonts w:eastAsia="Cambria" w:cstheme="minorHAnsi"/>
          <w:lang w:val="en-GB"/>
        </w:rPr>
        <w:t>Naval Medical Research Unit No 6, Lima, Peru</w:t>
      </w:r>
    </w:p>
    <w:p w:rsidR="00F53395" w:rsidRPr="00E4556F" w:rsidRDefault="00F53395" w:rsidP="00F53395">
      <w:pPr>
        <w:spacing w:line="240" w:lineRule="auto"/>
        <w:rPr>
          <w:rFonts w:eastAsia="Cambria" w:cstheme="minorHAnsi"/>
          <w:b/>
          <w:lang w:val="en-GB"/>
        </w:rPr>
      </w:pPr>
    </w:p>
    <w:p w:rsidR="00F53395" w:rsidRPr="00E4556F" w:rsidRDefault="00F53395" w:rsidP="00E4556F">
      <w:pPr>
        <w:spacing w:line="240" w:lineRule="auto"/>
        <w:jc w:val="both"/>
        <w:rPr>
          <w:rFonts w:eastAsia="Cambria" w:cstheme="minorHAnsi"/>
          <w:lang w:val="en-GB"/>
        </w:rPr>
      </w:pPr>
      <w:r w:rsidRPr="00E4556F">
        <w:rPr>
          <w:rFonts w:ascii="Arial" w:eastAsia="Cambria" w:hAnsi="Arial" w:cs="Arial"/>
          <w:b/>
          <w:sz w:val="21"/>
          <w:szCs w:val="21"/>
          <w:lang w:val="en-GB"/>
        </w:rPr>
        <w:t>Background:</w:t>
      </w:r>
      <w:r w:rsidRPr="00E4556F">
        <w:rPr>
          <w:rFonts w:eastAsia="Cambria" w:cstheme="minorHAnsi"/>
          <w:lang w:val="en-GB"/>
        </w:rPr>
        <w:t xml:space="preserve"> Poverty is one of the main drivers of TB rates globally and is an obstacle to TB control. Microcredit loans have been used in diverse settings to reduce poverty. Microcredit loans for TB-affected households could reduce TB social determinants and economic consequences. However, such loans may be inappropriate if there is a high risk of repayment default and inadvertently lead to further impoverishment. We aimed to evaluate the use of microcredit for TB-affected households.</w:t>
      </w:r>
    </w:p>
    <w:p w:rsidR="00F53395" w:rsidRPr="00E4556F" w:rsidRDefault="00F53395" w:rsidP="00E4556F">
      <w:pPr>
        <w:spacing w:line="240" w:lineRule="auto"/>
        <w:jc w:val="both"/>
        <w:rPr>
          <w:rFonts w:eastAsia="Cambria" w:cstheme="minorHAnsi"/>
          <w:b/>
          <w:lang w:val="en-GB"/>
        </w:rPr>
      </w:pPr>
      <w:r w:rsidRPr="00E4556F">
        <w:rPr>
          <w:rFonts w:ascii="Arial" w:eastAsia="Cambria" w:hAnsi="Arial" w:cs="Arial"/>
          <w:b/>
          <w:sz w:val="21"/>
          <w:szCs w:val="21"/>
          <w:lang w:val="en-GB"/>
        </w:rPr>
        <w:t>Setting:</w:t>
      </w:r>
      <w:r w:rsidRPr="00E4556F">
        <w:rPr>
          <w:rFonts w:eastAsia="Cambria" w:cstheme="minorHAnsi"/>
          <w:b/>
          <w:lang w:val="en-GB"/>
        </w:rPr>
        <w:t xml:space="preserve"> </w:t>
      </w:r>
      <w:r w:rsidRPr="00E4556F">
        <w:rPr>
          <w:rFonts w:eastAsia="Cambria" w:cstheme="minorHAnsi"/>
          <w:lang w:val="en-GB"/>
        </w:rPr>
        <w:t xml:space="preserve">From 2007-2012, the Innovative Socioeconomic Interventions </w:t>
      </w:r>
      <w:proofErr w:type="gramStart"/>
      <w:r w:rsidRPr="00E4556F">
        <w:rPr>
          <w:rFonts w:eastAsia="Cambria" w:cstheme="minorHAnsi"/>
          <w:lang w:val="en-GB"/>
        </w:rPr>
        <w:t>Against</w:t>
      </w:r>
      <w:proofErr w:type="gramEnd"/>
      <w:r w:rsidRPr="00E4556F">
        <w:rPr>
          <w:rFonts w:eastAsia="Cambria" w:cstheme="minorHAnsi"/>
          <w:lang w:val="en-GB"/>
        </w:rPr>
        <w:t xml:space="preserve"> TB (ISIAT) project in 16 </w:t>
      </w:r>
      <w:proofErr w:type="spellStart"/>
      <w:r w:rsidRPr="00E4556F">
        <w:rPr>
          <w:rFonts w:eastAsia="Cambria" w:cstheme="minorHAnsi"/>
          <w:lang w:val="en-GB"/>
        </w:rPr>
        <w:t>periurban</w:t>
      </w:r>
      <w:proofErr w:type="spellEnd"/>
      <w:r w:rsidRPr="00E4556F">
        <w:rPr>
          <w:rFonts w:eastAsia="Cambria" w:cstheme="minorHAnsi"/>
          <w:lang w:val="en-GB"/>
        </w:rPr>
        <w:t xml:space="preserve"> shantytowns in Lima, Peru</w:t>
      </w:r>
    </w:p>
    <w:p w:rsidR="00F53395" w:rsidRPr="00E4556F" w:rsidRDefault="00F53395" w:rsidP="00E4556F">
      <w:pPr>
        <w:spacing w:line="240" w:lineRule="auto"/>
        <w:jc w:val="both"/>
        <w:rPr>
          <w:rFonts w:eastAsia="Cambria" w:cstheme="minorHAnsi"/>
          <w:lang w:val="en-GB"/>
        </w:rPr>
      </w:pPr>
      <w:r w:rsidRPr="00E4556F">
        <w:rPr>
          <w:rFonts w:ascii="Arial" w:eastAsia="Cambria" w:hAnsi="Arial" w:cs="Arial"/>
          <w:b/>
          <w:sz w:val="21"/>
          <w:szCs w:val="21"/>
          <w:lang w:val="en-GB"/>
        </w:rPr>
        <w:t>Methods:</w:t>
      </w:r>
      <w:r w:rsidRPr="00E4556F">
        <w:rPr>
          <w:rFonts w:eastAsia="Cambria" w:cstheme="minorHAnsi"/>
          <w:lang w:val="en-GB"/>
        </w:rPr>
        <w:t xml:space="preserve"> ISIAT partnered with a microcredit organisation to offer microcredit loans to households including those in which someone had recently started TB treatment. Socio-demographic data were recorded during a baseline visit and tested for predicting loan outcome. ISIAT guaranteed and supported repayment of defaulted loans.  </w:t>
      </w:r>
    </w:p>
    <w:p w:rsidR="00F53395" w:rsidRPr="00E4556F" w:rsidRDefault="00F53395" w:rsidP="00E4556F">
      <w:pPr>
        <w:spacing w:line="240" w:lineRule="auto"/>
        <w:jc w:val="both"/>
        <w:rPr>
          <w:rFonts w:eastAsia="Cambria" w:cstheme="minorHAnsi"/>
          <w:lang w:val="en-GB"/>
        </w:rPr>
      </w:pPr>
      <w:r w:rsidRPr="00E4556F">
        <w:rPr>
          <w:rFonts w:ascii="Arial" w:eastAsia="Cambria" w:hAnsi="Arial" w:cs="Arial"/>
          <w:b/>
          <w:sz w:val="21"/>
          <w:szCs w:val="21"/>
          <w:lang w:val="en-GB"/>
        </w:rPr>
        <w:t>Results:</w:t>
      </w:r>
      <w:r w:rsidRPr="00E4556F">
        <w:rPr>
          <w:rFonts w:eastAsia="Cambria" w:cstheme="minorHAnsi"/>
          <w:lang w:val="en-GB"/>
        </w:rPr>
        <w:t xml:space="preserve"> For people living with TB, the ‘village-banking’ microcredit system of group loans was difficult to implement due to stigma so individual loans predominated. 21% of TB-affected households decided to borrow 117 loans. Another 27 households that were not TB-affected borrowed 34 loans. Default occurred in 36% of the 151 loans made.  Default was more likely if the borrower was male (p&lt;0.03) and lived in a TB-affected household (p&lt;0.04, Table). Default was not associated with schooling completion, income, spending, crowding or age (all p&gt;0.1). For TB-affected households, default was the outcome of 49% of the loans. The total $83,035 loans included $23,656 in additional charges for late repayments. </w:t>
      </w:r>
    </w:p>
    <w:p w:rsidR="00F53395" w:rsidRPr="00E4556F" w:rsidRDefault="00F53395" w:rsidP="00E4556F">
      <w:pPr>
        <w:spacing w:line="240" w:lineRule="auto"/>
        <w:jc w:val="both"/>
        <w:rPr>
          <w:rFonts w:cstheme="minorHAnsi"/>
          <w:lang w:val="en-GB"/>
        </w:rPr>
      </w:pPr>
      <w:r w:rsidRPr="00E4556F">
        <w:rPr>
          <w:rFonts w:ascii="Arial" w:eastAsia="Cambria" w:hAnsi="Arial" w:cs="Arial"/>
          <w:b/>
          <w:sz w:val="21"/>
          <w:szCs w:val="21"/>
          <w:lang w:val="en-GB"/>
        </w:rPr>
        <w:t>Conclusion:</w:t>
      </w:r>
      <w:r w:rsidRPr="00E4556F">
        <w:rPr>
          <w:rFonts w:eastAsia="Cambria" w:cstheme="minorHAnsi"/>
          <w:lang w:val="en-GB"/>
        </w:rPr>
        <w:t xml:space="preserve"> Microcredit loans should only be considered for carefully selected TB-affected households and require caution and support. Loan success may be improved by targeting healthy female representatives of TB-affected households, by providing smaller loans, or scheduling re-payments after treatment completion</w:t>
      </w:r>
      <w:r w:rsidRPr="00E4556F">
        <w:rPr>
          <w:rFonts w:cstheme="minorHAnsi"/>
          <w:lang w:val="en-GB"/>
        </w:rPr>
        <w:t>.</w:t>
      </w:r>
    </w:p>
    <w:p w:rsidR="00F53395" w:rsidRPr="003D69E3" w:rsidRDefault="00F53395" w:rsidP="00F53395">
      <w:pPr>
        <w:rPr>
          <w:rFonts w:ascii="Verdana" w:hAnsi="Verdana"/>
          <w:sz w:val="18"/>
          <w:szCs w:val="18"/>
          <w:lang w:val="en-GB"/>
        </w:rPr>
      </w:pPr>
      <w:r w:rsidRPr="003D69E3">
        <w:rPr>
          <w:rFonts w:ascii="Verdana" w:hAnsi="Verdana"/>
          <w:sz w:val="18"/>
          <w:szCs w:val="18"/>
          <w:lang w:val="en-GB"/>
        </w:rPr>
        <w:br w:type="page"/>
      </w:r>
      <w:bookmarkStart w:id="1" w:name="_GoBack"/>
      <w:bookmarkEnd w:id="1"/>
    </w:p>
    <w:p w:rsidR="00F53395" w:rsidRPr="003D69E3" w:rsidRDefault="00F53395" w:rsidP="00F53395">
      <w:pPr>
        <w:spacing w:line="240" w:lineRule="auto"/>
        <w:rPr>
          <w:rFonts w:ascii="Verdana" w:hAnsi="Verdana"/>
          <w:sz w:val="18"/>
          <w:szCs w:val="18"/>
          <w:lang w:val="en-GB"/>
        </w:rPr>
      </w:pPr>
    </w:p>
    <w:tbl>
      <w:tblPr>
        <w:tblStyle w:val="Tablaconcuadrcula"/>
        <w:tblW w:w="5000" w:type="pct"/>
        <w:tblLook w:val="04A0" w:firstRow="1" w:lastRow="0" w:firstColumn="1" w:lastColumn="0" w:noHBand="0" w:noVBand="1"/>
      </w:tblPr>
      <w:tblGrid>
        <w:gridCol w:w="3101"/>
        <w:gridCol w:w="1770"/>
        <w:gridCol w:w="1356"/>
        <w:gridCol w:w="1231"/>
        <w:gridCol w:w="1558"/>
      </w:tblGrid>
      <w:tr w:rsidR="00F53395" w:rsidRPr="003D69E3" w:rsidTr="00C53112">
        <w:tc>
          <w:tcPr>
            <w:tcW w:w="1724" w:type="pct"/>
            <w:vAlign w:val="center"/>
          </w:tcPr>
          <w:p w:rsidR="00F53395" w:rsidRPr="003D69E3" w:rsidRDefault="00F53395" w:rsidP="00C53112">
            <w:pPr>
              <w:spacing w:line="360" w:lineRule="auto"/>
              <w:rPr>
                <w:rFonts w:ascii="Verdana" w:hAnsi="Verdana" w:cs="Arial"/>
                <w:sz w:val="18"/>
                <w:szCs w:val="18"/>
                <w:lang w:val="en-US"/>
              </w:rPr>
            </w:pPr>
          </w:p>
        </w:tc>
        <w:tc>
          <w:tcPr>
            <w:tcW w:w="986"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Microcredits repaid</w:t>
            </w:r>
          </w:p>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(n=96)</w:t>
            </w:r>
          </w:p>
        </w:tc>
        <w:tc>
          <w:tcPr>
            <w:tcW w:w="756"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Microcredits defaulted</w:t>
            </w:r>
          </w:p>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(n=55)</w:t>
            </w:r>
          </w:p>
        </w:tc>
        <w:tc>
          <w:tcPr>
            <w:tcW w:w="666"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P-value:</w:t>
            </w:r>
          </w:p>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microcredit</w:t>
            </w:r>
          </w:p>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default</w:t>
            </w:r>
          </w:p>
        </w:tc>
        <w:tc>
          <w:tcPr>
            <w:tcW w:w="868"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 xml:space="preserve">P-value: </w:t>
            </w:r>
          </w:p>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 xml:space="preserve">amount </w:t>
            </w:r>
          </w:p>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defaulted</w:t>
            </w:r>
          </w:p>
        </w:tc>
      </w:tr>
      <w:tr w:rsidR="00F53395" w:rsidRPr="003D69E3" w:rsidTr="00C53112">
        <w:tc>
          <w:tcPr>
            <w:tcW w:w="1724" w:type="pct"/>
            <w:vAlign w:val="center"/>
          </w:tcPr>
          <w:p w:rsidR="00F53395" w:rsidRPr="003D69E3" w:rsidRDefault="00F53395" w:rsidP="00C53112">
            <w:pPr>
              <w:spacing w:line="360" w:lineRule="auto"/>
              <w:rPr>
                <w:rFonts w:ascii="Verdana" w:hAnsi="Verdana" w:cs="Arial"/>
                <w:sz w:val="18"/>
                <w:szCs w:val="18"/>
                <w:lang w:val="en-US"/>
              </w:rPr>
            </w:pPr>
            <w:r w:rsidRPr="003D69E3">
              <w:rPr>
                <w:rFonts w:ascii="Verdana" w:hAnsi="Verdana" w:cs="Arial"/>
                <w:sz w:val="18"/>
                <w:szCs w:val="18"/>
                <w:lang w:val="en-US"/>
              </w:rPr>
              <w:t xml:space="preserve">TB; %TB-free </w:t>
            </w:r>
          </w:p>
          <w:p w:rsidR="00F53395" w:rsidRPr="003D69E3" w:rsidRDefault="00F53395" w:rsidP="00C53112">
            <w:pPr>
              <w:spacing w:line="360" w:lineRule="auto"/>
              <w:rPr>
                <w:rFonts w:ascii="Verdana" w:hAnsi="Verdana" w:cs="Arial"/>
                <w:sz w:val="18"/>
                <w:szCs w:val="18"/>
                <w:lang w:val="en-US"/>
              </w:rPr>
            </w:pPr>
            <w:r w:rsidRPr="003D69E3">
              <w:rPr>
                <w:rFonts w:ascii="Verdana" w:hAnsi="Verdana" w:cs="Arial"/>
                <w:sz w:val="18"/>
                <w:szCs w:val="18"/>
                <w:lang w:val="en-US"/>
              </w:rPr>
              <w:t>(95%CI)</w:t>
            </w:r>
          </w:p>
        </w:tc>
        <w:tc>
          <w:tcPr>
            <w:tcW w:w="986"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 xml:space="preserve">28% </w:t>
            </w:r>
          </w:p>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(19%-37%)</w:t>
            </w:r>
          </w:p>
        </w:tc>
        <w:tc>
          <w:tcPr>
            <w:tcW w:w="756"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 xml:space="preserve">13% </w:t>
            </w:r>
          </w:p>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(3.9%-22%)</w:t>
            </w:r>
          </w:p>
        </w:tc>
        <w:tc>
          <w:tcPr>
            <w:tcW w:w="666"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0.03</w:t>
            </w:r>
          </w:p>
        </w:tc>
        <w:tc>
          <w:tcPr>
            <w:tcW w:w="868"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0.008</w:t>
            </w:r>
          </w:p>
        </w:tc>
      </w:tr>
      <w:tr w:rsidR="00F53395" w:rsidRPr="003D69E3" w:rsidTr="00C53112">
        <w:tc>
          <w:tcPr>
            <w:tcW w:w="1724" w:type="pct"/>
            <w:vAlign w:val="center"/>
          </w:tcPr>
          <w:p w:rsidR="00F53395" w:rsidRPr="003D69E3" w:rsidRDefault="00F53395" w:rsidP="00C53112">
            <w:pPr>
              <w:spacing w:line="360" w:lineRule="auto"/>
              <w:rPr>
                <w:rFonts w:ascii="Verdana" w:hAnsi="Verdana" w:cs="Arial"/>
                <w:sz w:val="18"/>
                <w:szCs w:val="18"/>
                <w:lang w:val="en-US"/>
              </w:rPr>
            </w:pPr>
            <w:r w:rsidRPr="003D69E3">
              <w:rPr>
                <w:rFonts w:ascii="Verdana" w:hAnsi="Verdana" w:cs="Arial"/>
                <w:sz w:val="18"/>
                <w:szCs w:val="18"/>
                <w:lang w:val="en-US"/>
              </w:rPr>
              <w:t xml:space="preserve">Sex; % female </w:t>
            </w:r>
          </w:p>
          <w:p w:rsidR="00F53395" w:rsidRPr="003D69E3" w:rsidRDefault="00F53395" w:rsidP="00C53112">
            <w:pPr>
              <w:spacing w:line="360" w:lineRule="auto"/>
              <w:rPr>
                <w:rFonts w:ascii="Verdana" w:hAnsi="Verdana" w:cs="Arial"/>
                <w:sz w:val="18"/>
                <w:szCs w:val="18"/>
                <w:lang w:val="en-US"/>
              </w:rPr>
            </w:pPr>
            <w:r w:rsidRPr="003D69E3">
              <w:rPr>
                <w:rFonts w:ascii="Verdana" w:hAnsi="Verdana" w:cs="Arial"/>
                <w:sz w:val="18"/>
                <w:szCs w:val="18"/>
                <w:lang w:val="en-US"/>
              </w:rPr>
              <w:t>(95%CI)</w:t>
            </w:r>
          </w:p>
        </w:tc>
        <w:tc>
          <w:tcPr>
            <w:tcW w:w="986"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 xml:space="preserve">79% </w:t>
            </w:r>
          </w:p>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(70%-87%)</w:t>
            </w:r>
          </w:p>
        </w:tc>
        <w:tc>
          <w:tcPr>
            <w:tcW w:w="756"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 xml:space="preserve">62% </w:t>
            </w:r>
          </w:p>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(48%-75%)</w:t>
            </w:r>
          </w:p>
        </w:tc>
        <w:tc>
          <w:tcPr>
            <w:tcW w:w="666"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0.02</w:t>
            </w:r>
          </w:p>
        </w:tc>
        <w:tc>
          <w:tcPr>
            <w:tcW w:w="868"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0.01</w:t>
            </w:r>
          </w:p>
        </w:tc>
      </w:tr>
      <w:tr w:rsidR="00F53395" w:rsidRPr="003D69E3" w:rsidTr="00C53112">
        <w:tc>
          <w:tcPr>
            <w:tcW w:w="1724" w:type="pct"/>
            <w:vAlign w:val="center"/>
          </w:tcPr>
          <w:p w:rsidR="00F53395" w:rsidRPr="003D69E3" w:rsidRDefault="00F53395" w:rsidP="00C53112">
            <w:pPr>
              <w:spacing w:line="360" w:lineRule="auto"/>
              <w:rPr>
                <w:rFonts w:ascii="Verdana" w:hAnsi="Verdana" w:cs="Arial"/>
                <w:sz w:val="18"/>
                <w:szCs w:val="18"/>
                <w:lang w:val="en-US"/>
              </w:rPr>
            </w:pPr>
            <w:r w:rsidRPr="003D69E3">
              <w:rPr>
                <w:rFonts w:ascii="Verdana" w:hAnsi="Verdana" w:cs="Arial"/>
                <w:sz w:val="18"/>
                <w:szCs w:val="18"/>
                <w:lang w:val="en-US"/>
              </w:rPr>
              <w:t xml:space="preserve">Age in years; median </w:t>
            </w:r>
          </w:p>
          <w:p w:rsidR="00F53395" w:rsidRPr="003D69E3" w:rsidRDefault="00F53395" w:rsidP="00C53112">
            <w:pPr>
              <w:spacing w:line="360" w:lineRule="auto"/>
              <w:rPr>
                <w:rFonts w:ascii="Verdana" w:hAnsi="Verdana" w:cs="Arial"/>
                <w:sz w:val="18"/>
                <w:szCs w:val="18"/>
                <w:lang w:val="en-US"/>
              </w:rPr>
            </w:pPr>
            <w:r w:rsidRPr="003D69E3">
              <w:rPr>
                <w:rFonts w:ascii="Verdana" w:hAnsi="Verdana" w:cs="Arial"/>
                <w:sz w:val="18"/>
                <w:szCs w:val="18"/>
                <w:lang w:val="en-US"/>
              </w:rPr>
              <w:t>(IQR)</w:t>
            </w:r>
          </w:p>
        </w:tc>
        <w:tc>
          <w:tcPr>
            <w:tcW w:w="986"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 xml:space="preserve">32 </w:t>
            </w:r>
          </w:p>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(25-43)</w:t>
            </w:r>
          </w:p>
        </w:tc>
        <w:tc>
          <w:tcPr>
            <w:tcW w:w="756"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 xml:space="preserve">32 </w:t>
            </w:r>
          </w:p>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(26-42)</w:t>
            </w:r>
          </w:p>
        </w:tc>
        <w:tc>
          <w:tcPr>
            <w:tcW w:w="666"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0.9</w:t>
            </w:r>
          </w:p>
        </w:tc>
        <w:tc>
          <w:tcPr>
            <w:tcW w:w="868"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0.7</w:t>
            </w:r>
          </w:p>
        </w:tc>
      </w:tr>
      <w:tr w:rsidR="00F53395" w:rsidRPr="003D69E3" w:rsidTr="00C53112">
        <w:tc>
          <w:tcPr>
            <w:tcW w:w="1724" w:type="pct"/>
            <w:vAlign w:val="center"/>
          </w:tcPr>
          <w:p w:rsidR="00F53395" w:rsidRPr="003D69E3" w:rsidRDefault="00F53395" w:rsidP="00C53112">
            <w:pPr>
              <w:spacing w:line="360" w:lineRule="auto"/>
              <w:rPr>
                <w:rFonts w:ascii="Verdana" w:hAnsi="Verdana" w:cs="Arial"/>
                <w:sz w:val="18"/>
                <w:szCs w:val="18"/>
                <w:lang w:val="en-US"/>
              </w:rPr>
            </w:pPr>
            <w:r w:rsidRPr="003D69E3">
              <w:rPr>
                <w:rFonts w:ascii="Verdana" w:hAnsi="Verdana" w:cs="Arial"/>
                <w:sz w:val="18"/>
                <w:szCs w:val="18"/>
                <w:lang w:val="en-US"/>
              </w:rPr>
              <w:t>Income; median $US/person/month (IQR)</w:t>
            </w:r>
          </w:p>
        </w:tc>
        <w:tc>
          <w:tcPr>
            <w:tcW w:w="986"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 xml:space="preserve">44 </w:t>
            </w:r>
          </w:p>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(33-78)</w:t>
            </w:r>
          </w:p>
        </w:tc>
        <w:tc>
          <w:tcPr>
            <w:tcW w:w="756"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 xml:space="preserve">62 </w:t>
            </w:r>
          </w:p>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(31-90)</w:t>
            </w:r>
          </w:p>
        </w:tc>
        <w:tc>
          <w:tcPr>
            <w:tcW w:w="666"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0.3</w:t>
            </w:r>
          </w:p>
        </w:tc>
        <w:tc>
          <w:tcPr>
            <w:tcW w:w="868"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0.2</w:t>
            </w:r>
          </w:p>
        </w:tc>
      </w:tr>
      <w:tr w:rsidR="00F53395" w:rsidRPr="003D69E3" w:rsidTr="00C53112">
        <w:tc>
          <w:tcPr>
            <w:tcW w:w="1724" w:type="pct"/>
            <w:vAlign w:val="center"/>
          </w:tcPr>
          <w:p w:rsidR="00F53395" w:rsidRPr="003D69E3" w:rsidRDefault="00F53395" w:rsidP="00C53112">
            <w:pPr>
              <w:spacing w:line="360" w:lineRule="auto"/>
              <w:rPr>
                <w:rFonts w:ascii="Verdana" w:hAnsi="Verdana" w:cs="Arial"/>
                <w:sz w:val="18"/>
                <w:szCs w:val="18"/>
                <w:lang w:val="en-US"/>
              </w:rPr>
            </w:pPr>
            <w:r w:rsidRPr="003D69E3">
              <w:rPr>
                <w:rFonts w:ascii="Verdana" w:hAnsi="Verdana" w:cs="Arial"/>
                <w:sz w:val="18"/>
                <w:szCs w:val="18"/>
                <w:lang w:val="en-US"/>
              </w:rPr>
              <w:t>Spending; median $US/ person/week (IQR)</w:t>
            </w:r>
          </w:p>
        </w:tc>
        <w:tc>
          <w:tcPr>
            <w:tcW w:w="986"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 xml:space="preserve">8 </w:t>
            </w:r>
          </w:p>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(7-12)</w:t>
            </w:r>
          </w:p>
        </w:tc>
        <w:tc>
          <w:tcPr>
            <w:tcW w:w="756"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 xml:space="preserve">9 </w:t>
            </w:r>
          </w:p>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(5-12)</w:t>
            </w:r>
          </w:p>
        </w:tc>
        <w:tc>
          <w:tcPr>
            <w:tcW w:w="666"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0.7</w:t>
            </w:r>
          </w:p>
        </w:tc>
        <w:tc>
          <w:tcPr>
            <w:tcW w:w="868"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0.7</w:t>
            </w:r>
          </w:p>
        </w:tc>
      </w:tr>
      <w:tr w:rsidR="00F53395" w:rsidRPr="003D69E3" w:rsidTr="00C53112">
        <w:tc>
          <w:tcPr>
            <w:tcW w:w="1724" w:type="pct"/>
            <w:vAlign w:val="center"/>
          </w:tcPr>
          <w:p w:rsidR="00F53395" w:rsidRPr="003D69E3" w:rsidRDefault="00F53395" w:rsidP="00C53112">
            <w:pPr>
              <w:spacing w:line="360" w:lineRule="auto"/>
              <w:rPr>
                <w:rFonts w:ascii="Verdana" w:hAnsi="Verdana" w:cs="Arial"/>
                <w:sz w:val="18"/>
                <w:szCs w:val="18"/>
                <w:lang w:val="en-US"/>
              </w:rPr>
            </w:pPr>
            <w:r w:rsidRPr="003D69E3">
              <w:rPr>
                <w:rFonts w:ascii="Verdana" w:hAnsi="Verdana" w:cs="Arial"/>
                <w:sz w:val="18"/>
                <w:szCs w:val="18"/>
                <w:lang w:val="en-US"/>
              </w:rPr>
              <w:t>Education; median level 0-7</w:t>
            </w:r>
          </w:p>
          <w:p w:rsidR="00F53395" w:rsidRPr="003D69E3" w:rsidRDefault="00F53395" w:rsidP="00C53112">
            <w:pPr>
              <w:spacing w:line="360" w:lineRule="auto"/>
              <w:rPr>
                <w:rFonts w:ascii="Verdana" w:hAnsi="Verdana" w:cs="Arial"/>
                <w:sz w:val="18"/>
                <w:szCs w:val="18"/>
                <w:lang w:val="en-US"/>
              </w:rPr>
            </w:pPr>
            <w:r w:rsidRPr="003D69E3">
              <w:rPr>
                <w:rFonts w:ascii="Verdana" w:hAnsi="Verdana" w:cs="Arial"/>
                <w:sz w:val="18"/>
                <w:szCs w:val="18"/>
                <w:lang w:val="en-US"/>
              </w:rPr>
              <w:t xml:space="preserve">(IQR) </w:t>
            </w:r>
          </w:p>
        </w:tc>
        <w:tc>
          <w:tcPr>
            <w:tcW w:w="986"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 xml:space="preserve">3 </w:t>
            </w:r>
          </w:p>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(2-4)</w:t>
            </w:r>
          </w:p>
        </w:tc>
        <w:tc>
          <w:tcPr>
            <w:tcW w:w="756"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 xml:space="preserve">4 </w:t>
            </w:r>
          </w:p>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(2-4)</w:t>
            </w:r>
          </w:p>
        </w:tc>
        <w:tc>
          <w:tcPr>
            <w:tcW w:w="666"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0.9</w:t>
            </w:r>
          </w:p>
        </w:tc>
        <w:tc>
          <w:tcPr>
            <w:tcW w:w="868"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0.6</w:t>
            </w:r>
          </w:p>
        </w:tc>
      </w:tr>
      <w:tr w:rsidR="00F53395" w:rsidRPr="003D69E3" w:rsidTr="00C53112">
        <w:tc>
          <w:tcPr>
            <w:tcW w:w="1724" w:type="pct"/>
            <w:vAlign w:val="center"/>
          </w:tcPr>
          <w:p w:rsidR="00F53395" w:rsidRPr="003D69E3" w:rsidRDefault="00F53395" w:rsidP="00C53112">
            <w:pPr>
              <w:spacing w:line="360" w:lineRule="auto"/>
              <w:rPr>
                <w:rFonts w:ascii="Verdana" w:hAnsi="Verdana" w:cs="Arial"/>
                <w:sz w:val="18"/>
                <w:szCs w:val="18"/>
                <w:lang w:val="en-US"/>
              </w:rPr>
            </w:pPr>
            <w:r w:rsidRPr="003D69E3">
              <w:rPr>
                <w:rFonts w:ascii="Verdana" w:hAnsi="Verdana" w:cs="Arial"/>
                <w:sz w:val="18"/>
                <w:szCs w:val="18"/>
                <w:lang w:val="en-US"/>
              </w:rPr>
              <w:t>Crowding; median people/house [IQR]</w:t>
            </w:r>
          </w:p>
        </w:tc>
        <w:tc>
          <w:tcPr>
            <w:tcW w:w="986"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 xml:space="preserve">5 </w:t>
            </w:r>
          </w:p>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(4-7)</w:t>
            </w:r>
          </w:p>
        </w:tc>
        <w:tc>
          <w:tcPr>
            <w:tcW w:w="756"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 xml:space="preserve">5 </w:t>
            </w:r>
          </w:p>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(4-8)</w:t>
            </w:r>
          </w:p>
        </w:tc>
        <w:tc>
          <w:tcPr>
            <w:tcW w:w="666"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0.6</w:t>
            </w:r>
          </w:p>
        </w:tc>
        <w:tc>
          <w:tcPr>
            <w:tcW w:w="868" w:type="pct"/>
            <w:vAlign w:val="center"/>
          </w:tcPr>
          <w:p w:rsidR="00F53395" w:rsidRPr="003D69E3" w:rsidRDefault="00F53395" w:rsidP="00C53112">
            <w:pPr>
              <w:spacing w:line="360" w:lineRule="auto"/>
              <w:jc w:val="center"/>
              <w:rPr>
                <w:rFonts w:ascii="Verdana" w:hAnsi="Verdana" w:cs="Arial"/>
                <w:sz w:val="18"/>
                <w:szCs w:val="18"/>
                <w:lang w:val="en-US"/>
              </w:rPr>
            </w:pPr>
            <w:r w:rsidRPr="003D69E3">
              <w:rPr>
                <w:rFonts w:ascii="Verdana" w:hAnsi="Verdana" w:cs="Arial"/>
                <w:sz w:val="18"/>
                <w:szCs w:val="18"/>
                <w:lang w:val="en-US"/>
              </w:rPr>
              <w:t>0.7</w:t>
            </w:r>
          </w:p>
        </w:tc>
      </w:tr>
    </w:tbl>
    <w:p w:rsidR="00F53395" w:rsidRPr="003D69E3" w:rsidRDefault="00F53395" w:rsidP="00F53395">
      <w:pPr>
        <w:rPr>
          <w:rFonts w:ascii="Arial" w:eastAsia="Calibri" w:hAnsi="Arial" w:cs="Arial"/>
          <w:sz w:val="20"/>
          <w:szCs w:val="20"/>
          <w:lang w:val="en-GB"/>
        </w:rPr>
      </w:pPr>
    </w:p>
    <w:tbl>
      <w:tblPr>
        <w:tblW w:w="5000" w:type="pct"/>
        <w:tblBorders>
          <w:top w:val="nil"/>
          <w:left w:val="nil"/>
          <w:right w:val="nil"/>
        </w:tblBorders>
        <w:tblLook w:val="0000" w:firstRow="0" w:lastRow="0" w:firstColumn="0" w:lastColumn="0" w:noHBand="0" w:noVBand="0"/>
      </w:tblPr>
      <w:tblGrid>
        <w:gridCol w:w="2630"/>
        <w:gridCol w:w="6376"/>
      </w:tblGrid>
      <w:tr w:rsidR="00F53395" w:rsidRPr="00E4556F" w:rsidTr="00C53112">
        <w:tc>
          <w:tcPr>
            <w:tcW w:w="1460" w:type="pct"/>
            <w:tcBorders>
              <w:top w:val="single" w:sz="8" w:space="0" w:color="000000"/>
              <w:left w:val="single" w:sz="8" w:space="0" w:color="000000"/>
              <w:bottom w:val="single" w:sz="8" w:space="0" w:color="000000"/>
              <w:right w:val="single" w:sz="8" w:space="0" w:color="000000"/>
            </w:tcBorders>
            <w:tcMar>
              <w:top w:w="140" w:type="nil"/>
              <w:right w:w="140" w:type="nil"/>
            </w:tcMar>
          </w:tcPr>
          <w:p w:rsidR="00F53395" w:rsidRPr="003D69E3" w:rsidRDefault="00F53395" w:rsidP="00C53112">
            <w:pPr>
              <w:widowControl w:val="0"/>
              <w:autoSpaceDE w:val="0"/>
              <w:autoSpaceDN w:val="0"/>
              <w:adjustRightInd w:val="0"/>
              <w:spacing w:after="0" w:line="240" w:lineRule="auto"/>
              <w:rPr>
                <w:rFonts w:ascii="Calibri" w:hAnsi="Calibri" w:cs="Calibri"/>
                <w:lang w:val="en-GB"/>
              </w:rPr>
            </w:pPr>
            <w:r w:rsidRPr="003D69E3">
              <w:rPr>
                <w:rFonts w:ascii="Calibri" w:hAnsi="Calibri" w:cs="Calibri"/>
                <w:b/>
                <w:bCs/>
                <w:color w:val="0000FF"/>
                <w:lang w:val="en-GB"/>
              </w:rPr>
              <w:t>Reference of your abstract and your poster board</w:t>
            </w:r>
          </w:p>
        </w:tc>
        <w:tc>
          <w:tcPr>
            <w:tcW w:w="3540" w:type="pct"/>
            <w:tcBorders>
              <w:top w:val="single" w:sz="8" w:space="0" w:color="000000"/>
              <w:bottom w:val="single" w:sz="8" w:space="0" w:color="000000"/>
              <w:right w:val="single" w:sz="8" w:space="0" w:color="000000"/>
            </w:tcBorders>
          </w:tcPr>
          <w:p w:rsidR="00F53395" w:rsidRPr="003D69E3" w:rsidRDefault="00F53395" w:rsidP="00C53112">
            <w:pPr>
              <w:widowControl w:val="0"/>
              <w:autoSpaceDE w:val="0"/>
              <w:autoSpaceDN w:val="0"/>
              <w:adjustRightInd w:val="0"/>
              <w:spacing w:after="0" w:line="240" w:lineRule="auto"/>
              <w:rPr>
                <w:rFonts w:ascii="Calibri" w:hAnsi="Calibri" w:cs="Calibri"/>
                <w:lang w:val="en-GB"/>
              </w:rPr>
            </w:pPr>
            <w:r w:rsidRPr="003D69E3">
              <w:rPr>
                <w:rFonts w:ascii="Calibri" w:hAnsi="Calibri" w:cs="Calibri"/>
                <w:color w:val="0000FF"/>
                <w:lang w:val="en-GB"/>
              </w:rPr>
              <w:t xml:space="preserve"> </w:t>
            </w:r>
          </w:p>
        </w:tc>
      </w:tr>
      <w:tr w:rsidR="00F53395" w:rsidRPr="00E4556F" w:rsidTr="00C53112">
        <w:tblPrEx>
          <w:tblBorders>
            <w:top w:val="none" w:sz="0" w:space="0" w:color="auto"/>
          </w:tblBorders>
        </w:tblPrEx>
        <w:tc>
          <w:tcPr>
            <w:tcW w:w="1460" w:type="pct"/>
            <w:tcBorders>
              <w:left w:val="single" w:sz="8" w:space="0" w:color="000000"/>
              <w:bottom w:val="single" w:sz="8" w:space="0" w:color="000000"/>
              <w:right w:val="single" w:sz="8" w:space="0" w:color="000000"/>
            </w:tcBorders>
            <w:tcMar>
              <w:top w:w="140" w:type="nil"/>
              <w:right w:w="140" w:type="nil"/>
            </w:tcMar>
          </w:tcPr>
          <w:p w:rsidR="00F53395" w:rsidRPr="003D69E3" w:rsidRDefault="00F53395" w:rsidP="00C53112">
            <w:pPr>
              <w:widowControl w:val="0"/>
              <w:autoSpaceDE w:val="0"/>
              <w:autoSpaceDN w:val="0"/>
              <w:adjustRightInd w:val="0"/>
              <w:spacing w:after="0" w:line="240" w:lineRule="auto"/>
              <w:rPr>
                <w:rFonts w:ascii="Calibri" w:hAnsi="Calibri" w:cs="Calibri"/>
                <w:lang w:val="en-GB"/>
              </w:rPr>
            </w:pPr>
            <w:r w:rsidRPr="003D69E3">
              <w:rPr>
                <w:rFonts w:ascii="Calibri" w:hAnsi="Calibri" w:cs="Calibri"/>
                <w:b/>
                <w:bCs/>
                <w:color w:val="0000FF"/>
                <w:lang w:val="en-GB"/>
              </w:rPr>
              <w:t>Title of your abstract</w:t>
            </w:r>
          </w:p>
        </w:tc>
        <w:tc>
          <w:tcPr>
            <w:tcW w:w="3540" w:type="pct"/>
            <w:tcBorders>
              <w:bottom w:val="single" w:sz="8" w:space="0" w:color="000000"/>
              <w:right w:val="single" w:sz="8" w:space="0" w:color="000000"/>
            </w:tcBorders>
          </w:tcPr>
          <w:p w:rsidR="00F53395" w:rsidRPr="003D69E3" w:rsidRDefault="00F53395" w:rsidP="00C53112">
            <w:pPr>
              <w:widowControl w:val="0"/>
              <w:autoSpaceDE w:val="0"/>
              <w:autoSpaceDN w:val="0"/>
              <w:adjustRightInd w:val="0"/>
              <w:spacing w:after="0" w:line="240" w:lineRule="auto"/>
              <w:rPr>
                <w:rFonts w:ascii="Calibri" w:hAnsi="Calibri" w:cs="Calibri"/>
                <w:color w:val="0000FF"/>
                <w:lang w:val="en-GB"/>
              </w:rPr>
            </w:pPr>
            <w:r w:rsidRPr="003D69E3">
              <w:rPr>
                <w:rFonts w:ascii="Calibri" w:hAnsi="Calibri" w:cs="Calibri"/>
                <w:color w:val="0000FF"/>
                <w:lang w:val="en-GB"/>
              </w:rPr>
              <w:t>Social protection trials for tuberculosis control: design and implementation lessons Carlton Evans (Peru)</w:t>
            </w:r>
          </w:p>
        </w:tc>
      </w:tr>
      <w:tr w:rsidR="00F53395" w:rsidRPr="003D69E3" w:rsidTr="00C53112">
        <w:tblPrEx>
          <w:tblBorders>
            <w:top w:val="none" w:sz="0" w:space="0" w:color="auto"/>
          </w:tblBorders>
        </w:tblPrEx>
        <w:tc>
          <w:tcPr>
            <w:tcW w:w="1460" w:type="pct"/>
            <w:tcBorders>
              <w:left w:val="single" w:sz="8" w:space="0" w:color="000000"/>
              <w:bottom w:val="single" w:sz="8" w:space="0" w:color="000000"/>
              <w:right w:val="single" w:sz="8" w:space="0" w:color="000000"/>
            </w:tcBorders>
            <w:tcMar>
              <w:top w:w="140" w:type="nil"/>
              <w:right w:w="140" w:type="nil"/>
            </w:tcMar>
          </w:tcPr>
          <w:p w:rsidR="00F53395" w:rsidRPr="003D69E3" w:rsidRDefault="00F53395" w:rsidP="00C53112">
            <w:pPr>
              <w:widowControl w:val="0"/>
              <w:autoSpaceDE w:val="0"/>
              <w:autoSpaceDN w:val="0"/>
              <w:adjustRightInd w:val="0"/>
              <w:spacing w:after="0" w:line="240" w:lineRule="auto"/>
              <w:rPr>
                <w:rFonts w:ascii="Calibri" w:hAnsi="Calibri" w:cs="Calibri"/>
                <w:lang w:val="en-GB"/>
              </w:rPr>
            </w:pPr>
            <w:r w:rsidRPr="003D69E3">
              <w:rPr>
                <w:rFonts w:ascii="Calibri" w:hAnsi="Calibri" w:cs="Calibri"/>
                <w:b/>
                <w:bCs/>
                <w:color w:val="0000FF"/>
                <w:lang w:val="en-GB"/>
              </w:rPr>
              <w:t>Type of session</w:t>
            </w:r>
          </w:p>
        </w:tc>
        <w:tc>
          <w:tcPr>
            <w:tcW w:w="3540" w:type="pct"/>
            <w:tcBorders>
              <w:bottom w:val="single" w:sz="8" w:space="0" w:color="000000"/>
              <w:right w:val="single" w:sz="8" w:space="0" w:color="000000"/>
            </w:tcBorders>
          </w:tcPr>
          <w:p w:rsidR="00F53395" w:rsidRPr="003D69E3" w:rsidRDefault="00F53395" w:rsidP="00C53112">
            <w:pPr>
              <w:widowControl w:val="0"/>
              <w:autoSpaceDE w:val="0"/>
              <w:autoSpaceDN w:val="0"/>
              <w:adjustRightInd w:val="0"/>
              <w:spacing w:after="0" w:line="240" w:lineRule="auto"/>
              <w:rPr>
                <w:rFonts w:ascii="Calibri" w:hAnsi="Calibri" w:cs="Calibri"/>
                <w:lang w:val="en-GB"/>
              </w:rPr>
            </w:pPr>
            <w:r w:rsidRPr="003D69E3">
              <w:rPr>
                <w:rFonts w:ascii="Calibri" w:hAnsi="Calibri" w:cs="Calibri"/>
                <w:color w:val="0000FF"/>
                <w:lang w:val="en-GB"/>
              </w:rPr>
              <w:t>Symposium 12</w:t>
            </w:r>
          </w:p>
        </w:tc>
      </w:tr>
      <w:tr w:rsidR="00F53395" w:rsidRPr="00E4556F" w:rsidTr="00C53112">
        <w:tblPrEx>
          <w:tblBorders>
            <w:top w:val="none" w:sz="0" w:space="0" w:color="auto"/>
          </w:tblBorders>
        </w:tblPrEx>
        <w:tc>
          <w:tcPr>
            <w:tcW w:w="1460" w:type="pct"/>
            <w:tcBorders>
              <w:left w:val="single" w:sz="8" w:space="0" w:color="000000"/>
              <w:bottom w:val="single" w:sz="8" w:space="0" w:color="000000"/>
              <w:right w:val="single" w:sz="8" w:space="0" w:color="000000"/>
            </w:tcBorders>
            <w:tcMar>
              <w:top w:w="140" w:type="nil"/>
              <w:right w:w="140" w:type="nil"/>
            </w:tcMar>
          </w:tcPr>
          <w:p w:rsidR="00F53395" w:rsidRPr="003D69E3" w:rsidRDefault="00F53395" w:rsidP="00C53112">
            <w:pPr>
              <w:widowControl w:val="0"/>
              <w:autoSpaceDE w:val="0"/>
              <w:autoSpaceDN w:val="0"/>
              <w:adjustRightInd w:val="0"/>
              <w:spacing w:after="0" w:line="240" w:lineRule="auto"/>
              <w:rPr>
                <w:rFonts w:ascii="Calibri" w:hAnsi="Calibri" w:cs="Calibri"/>
                <w:lang w:val="en-GB"/>
              </w:rPr>
            </w:pPr>
            <w:r w:rsidRPr="003D69E3">
              <w:rPr>
                <w:rFonts w:ascii="Calibri" w:hAnsi="Calibri" w:cs="Calibri"/>
                <w:b/>
                <w:bCs/>
                <w:color w:val="0000FF"/>
                <w:lang w:val="en-GB"/>
              </w:rPr>
              <w:t>Title of session</w:t>
            </w:r>
          </w:p>
        </w:tc>
        <w:tc>
          <w:tcPr>
            <w:tcW w:w="3540" w:type="pct"/>
            <w:tcBorders>
              <w:bottom w:val="single" w:sz="8" w:space="0" w:color="000000"/>
              <w:right w:val="single" w:sz="8" w:space="0" w:color="000000"/>
            </w:tcBorders>
          </w:tcPr>
          <w:p w:rsidR="00F53395" w:rsidRPr="003D69E3" w:rsidRDefault="00F53395" w:rsidP="00C53112">
            <w:pPr>
              <w:widowControl w:val="0"/>
              <w:autoSpaceDE w:val="0"/>
              <w:autoSpaceDN w:val="0"/>
              <w:adjustRightInd w:val="0"/>
              <w:spacing w:after="0" w:line="240" w:lineRule="auto"/>
              <w:rPr>
                <w:rFonts w:ascii="Calibri" w:hAnsi="Calibri" w:cs="Calibri"/>
                <w:color w:val="0000FF"/>
                <w:lang w:val="en-GB"/>
              </w:rPr>
            </w:pPr>
            <w:r w:rsidRPr="003D69E3">
              <w:rPr>
                <w:rFonts w:ascii="Calibri" w:hAnsi="Calibri" w:cs="Calibri"/>
                <w:color w:val="0000FF"/>
                <w:lang w:val="en-GB"/>
              </w:rPr>
              <w:t>Session N.00294</w:t>
            </w:r>
          </w:p>
          <w:p w:rsidR="00F53395" w:rsidRPr="003D69E3" w:rsidRDefault="00F53395" w:rsidP="00C53112">
            <w:pPr>
              <w:widowControl w:val="0"/>
              <w:autoSpaceDE w:val="0"/>
              <w:autoSpaceDN w:val="0"/>
              <w:adjustRightInd w:val="0"/>
              <w:spacing w:after="0" w:line="240" w:lineRule="auto"/>
              <w:rPr>
                <w:rFonts w:ascii="Calibri" w:hAnsi="Calibri" w:cs="Calibri"/>
                <w:color w:val="0000FF"/>
                <w:lang w:val="en-GB"/>
              </w:rPr>
            </w:pPr>
            <w:r w:rsidRPr="003D69E3">
              <w:rPr>
                <w:rFonts w:ascii="Calibri" w:hAnsi="Calibri" w:cs="Calibri"/>
                <w:b/>
                <w:bCs/>
                <w:color w:val="0000FF"/>
                <w:lang w:val="en-GB"/>
              </w:rPr>
              <w:t>12. Social protection strategies to enhance tuberculosis care and prevention: what works</w:t>
            </w:r>
          </w:p>
        </w:tc>
      </w:tr>
      <w:tr w:rsidR="00F53395" w:rsidRPr="00E4556F" w:rsidTr="00C53112">
        <w:tc>
          <w:tcPr>
            <w:tcW w:w="1460" w:type="pct"/>
            <w:tcBorders>
              <w:left w:val="single" w:sz="8" w:space="0" w:color="000000"/>
              <w:bottom w:val="single" w:sz="8" w:space="0" w:color="000000"/>
              <w:right w:val="single" w:sz="8" w:space="0" w:color="000000"/>
            </w:tcBorders>
            <w:tcMar>
              <w:top w:w="140" w:type="nil"/>
              <w:right w:w="140" w:type="nil"/>
            </w:tcMar>
          </w:tcPr>
          <w:p w:rsidR="00F53395" w:rsidRPr="003D69E3" w:rsidRDefault="00F53395" w:rsidP="00C53112">
            <w:pPr>
              <w:widowControl w:val="0"/>
              <w:autoSpaceDE w:val="0"/>
              <w:autoSpaceDN w:val="0"/>
              <w:adjustRightInd w:val="0"/>
              <w:spacing w:after="0" w:line="240" w:lineRule="auto"/>
              <w:rPr>
                <w:rFonts w:ascii="Calibri" w:hAnsi="Calibri" w:cs="Calibri"/>
                <w:b/>
                <w:bCs/>
                <w:color w:val="0000FF"/>
                <w:lang w:val="en-US"/>
              </w:rPr>
            </w:pPr>
            <w:r w:rsidRPr="003D69E3">
              <w:rPr>
                <w:rFonts w:ascii="Calibri" w:hAnsi="Calibri" w:cs="Calibri"/>
                <w:b/>
                <w:bCs/>
                <w:color w:val="0000FF"/>
                <w:lang w:val="en-US"/>
              </w:rPr>
              <w:t>Date, time and place</w:t>
            </w:r>
          </w:p>
        </w:tc>
        <w:tc>
          <w:tcPr>
            <w:tcW w:w="3540" w:type="pct"/>
            <w:tcBorders>
              <w:bottom w:val="single" w:sz="8" w:space="0" w:color="000000"/>
              <w:right w:val="single" w:sz="8" w:space="0" w:color="000000"/>
            </w:tcBorders>
          </w:tcPr>
          <w:p w:rsidR="00F53395" w:rsidRPr="003D69E3" w:rsidRDefault="00F53395" w:rsidP="00C53112">
            <w:pPr>
              <w:widowControl w:val="0"/>
              <w:autoSpaceDE w:val="0"/>
              <w:autoSpaceDN w:val="0"/>
              <w:adjustRightInd w:val="0"/>
              <w:spacing w:after="0" w:line="240" w:lineRule="auto"/>
              <w:jc w:val="both"/>
              <w:rPr>
                <w:rFonts w:ascii="Calibri" w:hAnsi="Calibri" w:cs="Calibri"/>
                <w:b/>
                <w:bCs/>
                <w:color w:val="0000FF"/>
                <w:lang w:val="en-US"/>
              </w:rPr>
            </w:pPr>
            <w:r w:rsidRPr="003D69E3">
              <w:rPr>
                <w:rFonts w:ascii="Calibri" w:hAnsi="Calibri" w:cs="Calibri"/>
                <w:b/>
                <w:bCs/>
                <w:color w:val="0000FF"/>
                <w:lang w:val="en-US"/>
              </w:rPr>
              <w:t xml:space="preserve"> Friday, 1 November 2013 from 14:30 to 16:30</w:t>
            </w:r>
          </w:p>
          <w:p w:rsidR="00F53395" w:rsidRPr="003D69E3" w:rsidRDefault="00F53395" w:rsidP="00C53112">
            <w:pPr>
              <w:widowControl w:val="0"/>
              <w:autoSpaceDE w:val="0"/>
              <w:autoSpaceDN w:val="0"/>
              <w:adjustRightInd w:val="0"/>
              <w:spacing w:after="0" w:line="240" w:lineRule="auto"/>
              <w:jc w:val="both"/>
              <w:rPr>
                <w:rFonts w:ascii="Calibri" w:hAnsi="Calibri" w:cs="Calibri"/>
                <w:b/>
                <w:bCs/>
                <w:color w:val="0000FF"/>
                <w:lang w:val="en-US"/>
              </w:rPr>
            </w:pPr>
            <w:r w:rsidRPr="003D69E3">
              <w:rPr>
                <w:rFonts w:ascii="Calibri" w:hAnsi="Calibri" w:cs="Calibri"/>
                <w:b/>
                <w:bCs/>
                <w:color w:val="0000FF"/>
                <w:lang w:val="en-US"/>
              </w:rPr>
              <w:t>Time of presentation: from 14:30 to 14:45</w:t>
            </w:r>
          </w:p>
        </w:tc>
      </w:tr>
    </w:tbl>
    <w:p w:rsidR="002B3F30" w:rsidRPr="00E4556F" w:rsidRDefault="002B3F30">
      <w:pPr>
        <w:rPr>
          <w:lang w:val="en-GB"/>
        </w:rPr>
      </w:pPr>
    </w:p>
    <w:sectPr w:rsidR="002B3F30" w:rsidRPr="00E4556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178" w:rsidRDefault="00246178" w:rsidP="00F53395">
      <w:pPr>
        <w:spacing w:after="0" w:line="240" w:lineRule="auto"/>
      </w:pPr>
      <w:r>
        <w:separator/>
      </w:r>
    </w:p>
  </w:endnote>
  <w:endnote w:type="continuationSeparator" w:id="0">
    <w:p w:rsidR="00246178" w:rsidRDefault="00246178" w:rsidP="00F5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550858"/>
      <w:docPartObj>
        <w:docPartGallery w:val="Page Numbers (Bottom of Page)"/>
        <w:docPartUnique/>
      </w:docPartObj>
    </w:sdtPr>
    <w:sdtEndPr>
      <w:rPr>
        <w:noProof/>
      </w:rPr>
    </w:sdtEndPr>
    <w:sdtContent>
      <w:p w:rsidR="00F53395" w:rsidRDefault="00F53395">
        <w:pPr>
          <w:pStyle w:val="Piedepgina"/>
          <w:jc w:val="right"/>
        </w:pPr>
        <w:r>
          <w:fldChar w:fldCharType="begin"/>
        </w:r>
        <w:r>
          <w:instrText xml:space="preserve"> PAGE   \* MERGEFORMAT </w:instrText>
        </w:r>
        <w:r>
          <w:fldChar w:fldCharType="separate"/>
        </w:r>
        <w:r w:rsidR="00E4556F">
          <w:rPr>
            <w:noProof/>
          </w:rPr>
          <w:t>2</w:t>
        </w:r>
        <w:r>
          <w:rPr>
            <w:noProof/>
          </w:rPr>
          <w:fldChar w:fldCharType="end"/>
        </w:r>
      </w:p>
    </w:sdtContent>
  </w:sdt>
  <w:p w:rsidR="00F53395" w:rsidRDefault="00F533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178" w:rsidRDefault="00246178" w:rsidP="00F53395">
      <w:pPr>
        <w:spacing w:after="0" w:line="240" w:lineRule="auto"/>
      </w:pPr>
      <w:r>
        <w:separator/>
      </w:r>
    </w:p>
  </w:footnote>
  <w:footnote w:type="continuationSeparator" w:id="0">
    <w:p w:rsidR="00246178" w:rsidRDefault="00246178" w:rsidP="00F533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73109"/>
    <w:multiLevelType w:val="hybridMultilevel"/>
    <w:tmpl w:val="CB90FF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95"/>
    <w:rsid w:val="00246178"/>
    <w:rsid w:val="002B3F30"/>
    <w:rsid w:val="003F53DC"/>
    <w:rsid w:val="00E4556F"/>
    <w:rsid w:val="00F53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2203E-1211-457C-90E3-94282F72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395"/>
    <w:pPr>
      <w:spacing w:after="200" w:line="276" w:lineRule="auto"/>
    </w:pPr>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5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53395"/>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53395"/>
    <w:rPr>
      <w:lang w:val="es-PE"/>
    </w:rPr>
  </w:style>
  <w:style w:type="paragraph" w:styleId="Piedepgina">
    <w:name w:val="footer"/>
    <w:basedOn w:val="Normal"/>
    <w:link w:val="PiedepginaCar"/>
    <w:uiPriority w:val="99"/>
    <w:unhideWhenUsed/>
    <w:rsid w:val="00F5339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53395"/>
    <w:rPr>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M</dc:creator>
  <cp:keywords/>
  <dc:description/>
  <cp:lastModifiedBy>Mich G.</cp:lastModifiedBy>
  <cp:revision>2</cp:revision>
  <dcterms:created xsi:type="dcterms:W3CDTF">2020-06-25T12:05:00Z</dcterms:created>
  <dcterms:modified xsi:type="dcterms:W3CDTF">2020-06-26T21:34:00Z</dcterms:modified>
</cp:coreProperties>
</file>