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FA4" w:rsidRPr="003D69E3" w:rsidRDefault="00570FA4" w:rsidP="00570FA4">
      <w:pPr>
        <w:shd w:val="clear" w:color="auto" w:fill="0C0C0C"/>
        <w:jc w:val="center"/>
        <w:rPr>
          <w:lang w:val="en-GB"/>
        </w:rPr>
      </w:pPr>
      <w:r w:rsidRPr="003D69E3">
        <w:rPr>
          <w:lang w:val="en-GB"/>
        </w:rPr>
        <w:t>Sunday 3rd November</w:t>
      </w:r>
    </w:p>
    <w:p w:rsidR="00570FA4" w:rsidRPr="008056AC" w:rsidRDefault="00570FA4" w:rsidP="00570FA4">
      <w:pPr>
        <w:keepNext/>
        <w:keepLines/>
        <w:spacing w:before="240" w:after="0"/>
        <w:jc w:val="center"/>
        <w:outlineLvl w:val="0"/>
        <w:rPr>
          <w:rFonts w:ascii="Arial" w:eastAsia="Cambria" w:hAnsi="Arial" w:cs="Arial"/>
          <w:b/>
          <w:color w:val="000000" w:themeColor="text1"/>
          <w:lang w:val="en-GB"/>
        </w:rPr>
      </w:pPr>
      <w:bookmarkStart w:id="0" w:name="_Toc238724025"/>
      <w:r w:rsidRPr="008056AC">
        <w:rPr>
          <w:rFonts w:ascii="Arial" w:eastAsia="Cambria" w:hAnsi="Arial" w:cs="Arial"/>
          <w:b/>
          <w:color w:val="000000" w:themeColor="text1"/>
          <w:lang w:val="en-GB"/>
        </w:rPr>
        <w:t>Microcredit loan results within the ISIAT project adapting social protection to people living with TB</w:t>
      </w:r>
      <w:bookmarkEnd w:id="0"/>
    </w:p>
    <w:p w:rsidR="00570FA4" w:rsidRPr="003D69E3" w:rsidRDefault="00570FA4" w:rsidP="00570FA4">
      <w:pPr>
        <w:spacing w:line="240" w:lineRule="auto"/>
        <w:rPr>
          <w:rFonts w:eastAsia="Cambria" w:cstheme="minorHAnsi"/>
        </w:rPr>
      </w:pPr>
      <w:proofErr w:type="spellStart"/>
      <w:r w:rsidRPr="003D69E3">
        <w:rPr>
          <w:rFonts w:eastAsia="Cambria" w:cstheme="minorHAnsi"/>
          <w:u w:val="single"/>
        </w:rPr>
        <w:t>Jason</w:t>
      </w:r>
      <w:proofErr w:type="spellEnd"/>
      <w:r w:rsidRPr="003D69E3">
        <w:rPr>
          <w:rFonts w:eastAsia="Cambria" w:cstheme="minorHAnsi"/>
          <w:u w:val="single"/>
        </w:rPr>
        <w:t xml:space="preserve"> P Kahn</w:t>
      </w:r>
      <w:r w:rsidRPr="003D69E3">
        <w:rPr>
          <w:rFonts w:eastAsia="Cambria" w:cstheme="minorHAnsi"/>
          <w:u w:val="single"/>
          <w:vertAlign w:val="superscript"/>
        </w:rPr>
        <w:t>1</w:t>
      </w:r>
      <w:r w:rsidRPr="003D69E3">
        <w:rPr>
          <w:rFonts w:eastAsia="Cambria" w:cstheme="minorHAnsi"/>
        </w:rPr>
        <w:t xml:space="preserve">, </w:t>
      </w:r>
      <w:r w:rsidRPr="003D69E3">
        <w:rPr>
          <w:rFonts w:eastAsia="Cambria" w:cstheme="minorHAnsi"/>
          <w:bCs/>
        </w:rPr>
        <w:t>F Concha</w:t>
      </w:r>
      <w:r w:rsidRPr="003D69E3">
        <w:rPr>
          <w:rFonts w:eastAsia="Cambria" w:cstheme="minorHAnsi"/>
          <w:vertAlign w:val="superscript"/>
        </w:rPr>
        <w:t>2</w:t>
      </w:r>
      <w:r w:rsidRPr="003D69E3">
        <w:rPr>
          <w:rFonts w:eastAsia="Cambria" w:cstheme="minorHAnsi"/>
        </w:rPr>
        <w:t>, C Rocha</w:t>
      </w:r>
      <w:r w:rsidRPr="003D69E3">
        <w:rPr>
          <w:rFonts w:eastAsia="Cambria" w:cstheme="minorHAnsi"/>
          <w:vertAlign w:val="superscript"/>
        </w:rPr>
        <w:t>1</w:t>
      </w:r>
      <w:proofErr w:type="gramStart"/>
      <w:r w:rsidRPr="003D69E3">
        <w:rPr>
          <w:rFonts w:eastAsia="Cambria" w:cstheme="minorHAnsi"/>
          <w:vertAlign w:val="superscript"/>
        </w:rPr>
        <w:t>,5</w:t>
      </w:r>
      <w:proofErr w:type="gramEnd"/>
      <w:r w:rsidRPr="003D69E3">
        <w:rPr>
          <w:rFonts w:eastAsia="Cambria" w:cstheme="minorHAnsi"/>
        </w:rPr>
        <w:t>, R Montoya</w:t>
      </w:r>
      <w:r w:rsidRPr="003D69E3">
        <w:rPr>
          <w:rFonts w:eastAsia="Cambria" w:cstheme="minorHAnsi"/>
          <w:vertAlign w:val="superscript"/>
        </w:rPr>
        <w:t>1</w:t>
      </w:r>
      <w:r w:rsidRPr="003D69E3">
        <w:rPr>
          <w:rFonts w:eastAsia="Cambria" w:cstheme="minorHAnsi"/>
        </w:rPr>
        <w:t>, W Ynga</w:t>
      </w:r>
      <w:r w:rsidRPr="003D69E3">
        <w:rPr>
          <w:rFonts w:eastAsia="Cambria" w:cstheme="minorHAnsi"/>
          <w:vertAlign w:val="superscript"/>
        </w:rPr>
        <w:t>1</w:t>
      </w:r>
      <w:r w:rsidRPr="003D69E3">
        <w:rPr>
          <w:rFonts w:eastAsia="Cambria" w:cstheme="minorHAnsi"/>
        </w:rPr>
        <w:t>, MA Tovar</w:t>
      </w:r>
      <w:r w:rsidRPr="003D69E3">
        <w:rPr>
          <w:rFonts w:eastAsia="Cambria" w:cstheme="minorHAnsi"/>
          <w:vertAlign w:val="superscript"/>
        </w:rPr>
        <w:t>1</w:t>
      </w:r>
      <w:r w:rsidRPr="003D69E3">
        <w:rPr>
          <w:rFonts w:eastAsia="Cambria" w:cstheme="minorHAnsi"/>
        </w:rPr>
        <w:t>, Delia Boccia</w:t>
      </w:r>
      <w:r w:rsidRPr="003D69E3">
        <w:rPr>
          <w:rFonts w:eastAsia="Cambria" w:cstheme="minorHAnsi"/>
          <w:vertAlign w:val="superscript"/>
        </w:rPr>
        <w:t>3</w:t>
      </w:r>
      <w:r w:rsidRPr="003D69E3">
        <w:rPr>
          <w:rFonts w:eastAsia="Cambria" w:cstheme="minorHAnsi"/>
        </w:rPr>
        <w:t xml:space="preserve">, </w:t>
      </w:r>
      <w:proofErr w:type="spellStart"/>
      <w:r w:rsidRPr="003D69E3">
        <w:rPr>
          <w:rFonts w:eastAsia="Cambria" w:cstheme="minorHAnsi"/>
        </w:rPr>
        <w:t>Carlton</w:t>
      </w:r>
      <w:proofErr w:type="spellEnd"/>
      <w:r w:rsidRPr="003D69E3">
        <w:rPr>
          <w:rFonts w:eastAsia="Cambria" w:cstheme="minorHAnsi"/>
        </w:rPr>
        <w:t xml:space="preserve"> A Evans</w:t>
      </w:r>
      <w:r w:rsidRPr="003D69E3">
        <w:rPr>
          <w:rFonts w:eastAsia="Cambria" w:cstheme="minorHAnsi"/>
          <w:vertAlign w:val="superscript"/>
        </w:rPr>
        <w:t>1,4</w:t>
      </w:r>
    </w:p>
    <w:p w:rsidR="00570FA4" w:rsidRPr="003D69E3" w:rsidRDefault="00570FA4" w:rsidP="00570FA4">
      <w:pPr>
        <w:numPr>
          <w:ilvl w:val="0"/>
          <w:numId w:val="1"/>
        </w:numPr>
        <w:spacing w:line="240" w:lineRule="auto"/>
        <w:contextualSpacing/>
        <w:rPr>
          <w:rFonts w:eastAsia="Cambria" w:cstheme="minorHAnsi"/>
          <w:lang w:val="en-GB"/>
        </w:rPr>
      </w:pPr>
      <w:r w:rsidRPr="003D69E3">
        <w:rPr>
          <w:rFonts w:eastAsia="Cambria" w:cstheme="minorHAnsi"/>
          <w:lang w:val="en-GB"/>
        </w:rPr>
        <w:t xml:space="preserve">IFHAD: Innovation for Health And Development, Universidad </w:t>
      </w:r>
      <w:proofErr w:type="spellStart"/>
      <w:r w:rsidRPr="003D69E3">
        <w:rPr>
          <w:rFonts w:eastAsia="Cambria" w:cstheme="minorHAnsi"/>
          <w:lang w:val="en-GB"/>
        </w:rPr>
        <w:t>Peruana</w:t>
      </w:r>
      <w:proofErr w:type="spellEnd"/>
      <w:r w:rsidRPr="003D69E3">
        <w:rPr>
          <w:rFonts w:eastAsia="Cambria" w:cstheme="minorHAnsi"/>
          <w:lang w:val="en-GB"/>
        </w:rPr>
        <w:t xml:space="preserve"> </w:t>
      </w:r>
      <w:proofErr w:type="spellStart"/>
      <w:r w:rsidRPr="003D69E3">
        <w:rPr>
          <w:rFonts w:eastAsia="Cambria" w:cstheme="minorHAnsi"/>
          <w:lang w:val="en-GB"/>
        </w:rPr>
        <w:t>Cayetano</w:t>
      </w:r>
      <w:proofErr w:type="spellEnd"/>
      <w:r w:rsidRPr="003D69E3">
        <w:rPr>
          <w:rFonts w:eastAsia="Cambria" w:cstheme="minorHAnsi"/>
          <w:lang w:val="en-GB"/>
        </w:rPr>
        <w:t xml:space="preserve"> Heredia, Lima, Peru</w:t>
      </w:r>
    </w:p>
    <w:p w:rsidR="00570FA4" w:rsidRPr="003D69E3" w:rsidRDefault="00570FA4" w:rsidP="00570FA4">
      <w:pPr>
        <w:numPr>
          <w:ilvl w:val="0"/>
          <w:numId w:val="1"/>
        </w:numPr>
        <w:spacing w:line="240" w:lineRule="auto"/>
        <w:contextualSpacing/>
        <w:rPr>
          <w:rFonts w:eastAsia="Cambria" w:cstheme="minorHAnsi"/>
          <w:lang w:val="en-GB"/>
        </w:rPr>
      </w:pPr>
      <w:proofErr w:type="spellStart"/>
      <w:r w:rsidRPr="003D69E3">
        <w:rPr>
          <w:rFonts w:eastAsia="Cambria" w:cstheme="minorHAnsi"/>
          <w:lang w:val="en-GB"/>
        </w:rPr>
        <w:t>Microfinanzas</w:t>
      </w:r>
      <w:proofErr w:type="spellEnd"/>
      <w:r w:rsidRPr="003D69E3">
        <w:rPr>
          <w:rFonts w:eastAsia="Cambria" w:cstheme="minorHAnsi"/>
          <w:lang w:val="en-GB"/>
        </w:rPr>
        <w:t xml:space="preserve"> PRISMA, Lima, Peru</w:t>
      </w:r>
    </w:p>
    <w:p w:rsidR="00570FA4" w:rsidRPr="003D69E3" w:rsidRDefault="00570FA4" w:rsidP="00570FA4">
      <w:pPr>
        <w:numPr>
          <w:ilvl w:val="0"/>
          <w:numId w:val="1"/>
        </w:numPr>
        <w:spacing w:line="240" w:lineRule="auto"/>
        <w:contextualSpacing/>
        <w:rPr>
          <w:rFonts w:eastAsia="Cambria" w:cstheme="minorHAnsi"/>
          <w:lang w:val="en-GB"/>
        </w:rPr>
      </w:pPr>
      <w:r w:rsidRPr="003D69E3">
        <w:rPr>
          <w:rFonts w:eastAsia="Cambria" w:cstheme="minorHAnsi"/>
          <w:lang w:val="en-GB"/>
        </w:rPr>
        <w:t xml:space="preserve">Faculty of Epidemiology &amp; Population Health, </w:t>
      </w:r>
      <w:proofErr w:type="spellStart"/>
      <w:r w:rsidRPr="003D69E3">
        <w:rPr>
          <w:rFonts w:eastAsia="Cambria" w:cstheme="minorHAnsi"/>
          <w:lang w:val="en-GB"/>
        </w:rPr>
        <w:t>Dept</w:t>
      </w:r>
      <w:proofErr w:type="spellEnd"/>
      <w:r w:rsidRPr="003D69E3">
        <w:rPr>
          <w:rFonts w:eastAsia="Cambria" w:cstheme="minorHAnsi"/>
          <w:lang w:val="en-GB"/>
        </w:rPr>
        <w:t xml:space="preserve"> Infectious Disease Epidemiology, London School of Hygiene and Tropical Medicine</w:t>
      </w:r>
    </w:p>
    <w:p w:rsidR="00570FA4" w:rsidRPr="003D69E3" w:rsidRDefault="00570FA4" w:rsidP="00570FA4">
      <w:pPr>
        <w:numPr>
          <w:ilvl w:val="0"/>
          <w:numId w:val="1"/>
        </w:numPr>
        <w:spacing w:line="240" w:lineRule="auto"/>
        <w:contextualSpacing/>
        <w:rPr>
          <w:rFonts w:eastAsia="Cambria" w:cstheme="minorHAnsi"/>
          <w:lang w:val="en-GB"/>
        </w:rPr>
      </w:pPr>
      <w:r w:rsidRPr="003D69E3">
        <w:rPr>
          <w:rFonts w:eastAsia="Cambria" w:cstheme="minorHAnsi"/>
          <w:lang w:val="en-GB"/>
        </w:rPr>
        <w:t>Section of Infectious Diseases &amp; Wellcome Centre, Imperial College London, UK</w:t>
      </w:r>
    </w:p>
    <w:p w:rsidR="00570FA4" w:rsidRPr="003D69E3" w:rsidRDefault="00570FA4" w:rsidP="00570FA4">
      <w:pPr>
        <w:numPr>
          <w:ilvl w:val="0"/>
          <w:numId w:val="1"/>
        </w:numPr>
        <w:spacing w:line="240" w:lineRule="auto"/>
        <w:contextualSpacing/>
        <w:rPr>
          <w:rFonts w:eastAsia="Cambria" w:cstheme="minorHAnsi"/>
          <w:lang w:val="en-GB"/>
        </w:rPr>
      </w:pPr>
      <w:r w:rsidRPr="003D69E3">
        <w:rPr>
          <w:rFonts w:eastAsia="Cambria" w:cstheme="minorHAnsi"/>
          <w:lang w:val="en-GB"/>
        </w:rPr>
        <w:t>Naval Medical Research Unit No 6, Lima, Peru</w:t>
      </w:r>
    </w:p>
    <w:p w:rsidR="00570FA4" w:rsidRPr="003D69E3" w:rsidRDefault="00570FA4" w:rsidP="00570FA4">
      <w:pPr>
        <w:spacing w:line="240" w:lineRule="auto"/>
        <w:rPr>
          <w:rFonts w:eastAsia="Cambria" w:cstheme="minorHAnsi"/>
          <w:b/>
          <w:lang w:val="en-GB"/>
        </w:rPr>
      </w:pPr>
    </w:p>
    <w:p w:rsidR="00570FA4" w:rsidRPr="003D69E3" w:rsidRDefault="00570FA4" w:rsidP="008056AC">
      <w:pPr>
        <w:spacing w:line="240" w:lineRule="auto"/>
        <w:jc w:val="both"/>
        <w:rPr>
          <w:rFonts w:eastAsia="Cambria" w:cstheme="minorHAnsi"/>
          <w:lang w:val="en-GB"/>
        </w:rPr>
      </w:pPr>
      <w:r w:rsidRPr="008056AC">
        <w:rPr>
          <w:rFonts w:ascii="Arial" w:eastAsia="Cambria" w:hAnsi="Arial" w:cs="Arial"/>
          <w:b/>
          <w:color w:val="000000" w:themeColor="text1"/>
          <w:sz w:val="21"/>
          <w:szCs w:val="21"/>
          <w:lang w:val="en-GB"/>
        </w:rPr>
        <w:t>Background:</w:t>
      </w:r>
      <w:r w:rsidRPr="003D69E3">
        <w:rPr>
          <w:rFonts w:eastAsia="Cambria" w:cstheme="minorHAnsi"/>
          <w:lang w:val="en-GB"/>
        </w:rPr>
        <w:t xml:space="preserve"> Microcredit loans have been used in diverse settings to reduce poverty, which confounds TB control. However, the role of microcredit loans in people affected by tuberculosis (TB) is undefined. We aimed to evaluate microcredit loans for impoverished TB-affected households.</w:t>
      </w:r>
    </w:p>
    <w:p w:rsidR="00570FA4" w:rsidRPr="003D69E3" w:rsidRDefault="00570FA4" w:rsidP="008056AC">
      <w:pPr>
        <w:spacing w:line="240" w:lineRule="auto"/>
        <w:jc w:val="both"/>
        <w:rPr>
          <w:rFonts w:eastAsia="Cambria" w:cstheme="minorHAnsi"/>
          <w:lang w:val="en-GB"/>
        </w:rPr>
      </w:pPr>
      <w:r w:rsidRPr="008056AC">
        <w:rPr>
          <w:rFonts w:ascii="Arial" w:eastAsia="Cambria" w:hAnsi="Arial" w:cs="Arial"/>
          <w:b/>
          <w:color w:val="000000" w:themeColor="text1"/>
          <w:sz w:val="21"/>
          <w:szCs w:val="21"/>
          <w:lang w:val="en-GB"/>
        </w:rPr>
        <w:t>Methods:</w:t>
      </w:r>
      <w:r w:rsidRPr="003D69E3">
        <w:rPr>
          <w:rFonts w:eastAsia="Cambria" w:cstheme="minorHAnsi"/>
          <w:lang w:val="en-GB"/>
        </w:rPr>
        <w:t xml:space="preserve"> The study was part of the Innovative Socioeconomic Interventions </w:t>
      </w:r>
      <w:proofErr w:type="gramStart"/>
      <w:r w:rsidRPr="003D69E3">
        <w:rPr>
          <w:rFonts w:eastAsia="Cambria" w:cstheme="minorHAnsi"/>
          <w:lang w:val="en-GB"/>
        </w:rPr>
        <w:t>Against</w:t>
      </w:r>
      <w:proofErr w:type="gramEnd"/>
      <w:r w:rsidRPr="003D69E3">
        <w:rPr>
          <w:rFonts w:eastAsia="Cambria" w:cstheme="minorHAnsi"/>
          <w:lang w:val="en-GB"/>
        </w:rPr>
        <w:t xml:space="preserve"> TB (ISIAT) project in Lima, Peru that partnered with an established microcredit organisation. Participating clients were given a schedule for loan repayments and late payments were subject to extra charges. Socio-demographic data including education level and poverty status were recorded during a </w:t>
      </w:r>
      <w:proofErr w:type="gramStart"/>
      <w:r w:rsidRPr="003D69E3">
        <w:rPr>
          <w:rFonts w:eastAsia="Cambria" w:cstheme="minorHAnsi"/>
          <w:lang w:val="en-GB"/>
        </w:rPr>
        <w:t>baseline</w:t>
      </w:r>
      <w:proofErr w:type="gramEnd"/>
      <w:r w:rsidRPr="003D69E3">
        <w:rPr>
          <w:rFonts w:eastAsia="Cambria" w:cstheme="minorHAnsi"/>
          <w:lang w:val="en-GB"/>
        </w:rPr>
        <w:t xml:space="preserve"> visit.  </w:t>
      </w:r>
    </w:p>
    <w:p w:rsidR="00570FA4" w:rsidRPr="003D69E3" w:rsidRDefault="00570FA4" w:rsidP="008056AC">
      <w:pPr>
        <w:spacing w:line="240" w:lineRule="auto"/>
        <w:jc w:val="both"/>
        <w:rPr>
          <w:rFonts w:eastAsia="Cambria" w:cstheme="minorHAnsi"/>
          <w:lang w:val="en-GB"/>
        </w:rPr>
      </w:pPr>
      <w:r w:rsidRPr="008056AC">
        <w:rPr>
          <w:rFonts w:ascii="Arial" w:eastAsia="Cambria" w:hAnsi="Arial" w:cs="Arial"/>
          <w:b/>
          <w:color w:val="000000" w:themeColor="text1"/>
          <w:sz w:val="21"/>
          <w:szCs w:val="21"/>
          <w:lang w:val="en-GB"/>
        </w:rPr>
        <w:t>Results:</w:t>
      </w:r>
      <w:r w:rsidRPr="003D69E3">
        <w:rPr>
          <w:rFonts w:eastAsia="Cambria" w:cstheme="minorHAnsi"/>
          <w:lang w:val="en-GB"/>
        </w:rPr>
        <w:t xml:space="preserve"> The population was poor, with 22% (64/297) of households living on less than $1 per person per day. For people living with TB, group loans were difficult to implement and were gradually replaced by individual loans. 21% (62/297) of TB-affected households borrowed 117 loans. Access to these loans appeared to be equitable because households that borrowed tended to have lower income, spending, schooling and be more crowded than households that did not borrow. Another 27 households that were not TB-affected also borrowed 34 loans. Of these total 151 loans, 36% (55) defaulted.  Factors associated with default are shown in the Figure: the borrower being male (RR=2.0, p&lt;0.02), living in a TB-affected household (RR=1.4, p&lt;0.001), and the loan being larger (p&lt;0.001). Default rates were not associated with schooling completion, income, spending, crowding or loan multiplicity (all p&gt;0.1). Of the total $83,035 loans ($67,326 capital borrowed plus $15,710 scheduled interest and charges), 49% ($40,730) defaulted, including $23,656 in additional charges for late repayments. The ISIAT project facilitated debt cancellation.</w:t>
      </w:r>
    </w:p>
    <w:p w:rsidR="00570FA4" w:rsidRPr="003D69E3" w:rsidRDefault="00570FA4" w:rsidP="008056AC">
      <w:pPr>
        <w:spacing w:line="240" w:lineRule="auto"/>
        <w:jc w:val="both"/>
        <w:rPr>
          <w:rFonts w:eastAsia="Cambria" w:cstheme="minorHAnsi"/>
          <w:lang w:val="en-GB"/>
        </w:rPr>
      </w:pPr>
      <w:r w:rsidRPr="008056AC">
        <w:rPr>
          <w:rFonts w:ascii="Arial" w:eastAsia="Cambria" w:hAnsi="Arial" w:cs="Arial"/>
          <w:b/>
          <w:color w:val="000000" w:themeColor="text1"/>
          <w:sz w:val="21"/>
          <w:szCs w:val="21"/>
          <w:lang w:val="en-GB"/>
        </w:rPr>
        <w:t>Conclusion:</w:t>
      </w:r>
      <w:r w:rsidRPr="003D69E3">
        <w:rPr>
          <w:rFonts w:eastAsia="Cambria" w:cstheme="minorHAnsi"/>
          <w:lang w:val="en-GB"/>
        </w:rPr>
        <w:t xml:space="preserve"> Microcredit loans were accessed equitably by TB-affected households. However, microcredit was difficult to adapt to try to help impoverished people living with TB. Stigma hampered the village-banking group loan process necessitating individual, personal loans. Loans to 41% of TB-affected households left them indebted. These results suggest that microcredit loans should be offered to TB-affected households only with caution, careful selection and support. Loan success rates may be improved by targeting specific demographic groups including women, and by providing smaller loans.</w:t>
      </w:r>
      <w:bookmarkStart w:id="1" w:name="_GoBack"/>
      <w:bookmarkEnd w:id="1"/>
    </w:p>
    <w:p w:rsidR="00570FA4" w:rsidRPr="003D69E3" w:rsidRDefault="00570FA4" w:rsidP="00570FA4">
      <w:pPr>
        <w:jc w:val="both"/>
        <w:rPr>
          <w:rFonts w:ascii="Calibri" w:eastAsia="Calibri" w:hAnsi="Calibri" w:cs="Times New Roman"/>
          <w:b/>
          <w:lang w:val="en-GB"/>
        </w:rPr>
      </w:pPr>
    </w:p>
    <w:p w:rsidR="00570FA4" w:rsidRPr="003D69E3" w:rsidRDefault="00570FA4" w:rsidP="00570FA4">
      <w:pPr>
        <w:rPr>
          <w:lang w:val="en-GB"/>
        </w:rPr>
      </w:pPr>
    </w:p>
    <w:p w:rsidR="00570FA4" w:rsidRPr="003D69E3" w:rsidRDefault="00570FA4" w:rsidP="00570FA4">
      <w:pPr>
        <w:jc w:val="both"/>
        <w:rPr>
          <w:lang w:val="en-GB"/>
        </w:rPr>
      </w:pPr>
      <w:r w:rsidRPr="003D69E3">
        <w:rPr>
          <w:noProof/>
          <w:lang w:eastAsia="es-PE"/>
        </w:rPr>
        <w:lastRenderedPageBreak/>
        <w:drawing>
          <wp:inline distT="0" distB="0" distL="0" distR="0" wp14:anchorId="1807F33D" wp14:editId="040B1CB1">
            <wp:extent cx="5761355" cy="4962525"/>
            <wp:effectExtent l="0" t="0" r="0" b="9525"/>
            <wp:docPr id="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4962525"/>
                    </a:xfrm>
                    <a:prstGeom prst="rect">
                      <a:avLst/>
                    </a:prstGeom>
                    <a:noFill/>
                  </pic:spPr>
                </pic:pic>
              </a:graphicData>
            </a:graphic>
          </wp:inline>
        </w:drawing>
      </w:r>
    </w:p>
    <w:p w:rsidR="00570FA4" w:rsidRPr="003D69E3" w:rsidRDefault="00570FA4" w:rsidP="00570FA4">
      <w:pPr>
        <w:widowControl w:val="0"/>
        <w:autoSpaceDE w:val="0"/>
        <w:autoSpaceDN w:val="0"/>
        <w:adjustRightInd w:val="0"/>
        <w:spacing w:after="0" w:line="240" w:lineRule="auto"/>
        <w:rPr>
          <w:rFonts w:ascii="Calibri" w:hAnsi="Calibri" w:cs="Calibri"/>
          <w:lang w:val="en-GB"/>
        </w:rPr>
      </w:pPr>
      <w:r w:rsidRPr="003D69E3">
        <w:rPr>
          <w:rFonts w:ascii="Calibri" w:hAnsi="Calibri" w:cs="Calibri"/>
          <w:lang w:val="en-GB"/>
        </w:rPr>
        <w:t> </w:t>
      </w:r>
    </w:p>
    <w:tbl>
      <w:tblPr>
        <w:tblW w:w="5000" w:type="pct"/>
        <w:tblBorders>
          <w:top w:val="nil"/>
          <w:left w:val="nil"/>
          <w:right w:val="nil"/>
        </w:tblBorders>
        <w:tblLook w:val="0000" w:firstRow="0" w:lastRow="0" w:firstColumn="0" w:lastColumn="0" w:noHBand="0" w:noVBand="0"/>
      </w:tblPr>
      <w:tblGrid>
        <w:gridCol w:w="2699"/>
        <w:gridCol w:w="6543"/>
      </w:tblGrid>
      <w:tr w:rsidR="00570FA4" w:rsidRPr="003D69E3" w:rsidTr="00C53112">
        <w:tc>
          <w:tcPr>
            <w:tcW w:w="1460" w:type="pct"/>
            <w:tcBorders>
              <w:top w:val="single" w:sz="8" w:space="0" w:color="000000"/>
              <w:left w:val="single" w:sz="8" w:space="0" w:color="000000"/>
              <w:bottom w:val="single" w:sz="8" w:space="0" w:color="000000"/>
              <w:right w:val="single" w:sz="8" w:space="0" w:color="000000"/>
            </w:tcBorders>
            <w:tcMar>
              <w:top w:w="140" w:type="nil"/>
              <w:right w:w="140" w:type="nil"/>
            </w:tcMar>
          </w:tcPr>
          <w:p w:rsidR="00570FA4" w:rsidRPr="003D69E3" w:rsidRDefault="00570FA4" w:rsidP="00C53112">
            <w:pPr>
              <w:widowControl w:val="0"/>
              <w:autoSpaceDE w:val="0"/>
              <w:autoSpaceDN w:val="0"/>
              <w:adjustRightInd w:val="0"/>
              <w:spacing w:after="0" w:line="240" w:lineRule="auto"/>
              <w:rPr>
                <w:rFonts w:ascii="Calibri" w:hAnsi="Calibri" w:cs="Calibri"/>
                <w:lang w:val="en-GB"/>
              </w:rPr>
            </w:pPr>
            <w:r w:rsidRPr="003D69E3">
              <w:rPr>
                <w:rFonts w:ascii="Calibri" w:hAnsi="Calibri" w:cs="Calibri"/>
                <w:b/>
                <w:bCs/>
                <w:color w:val="0000FF"/>
                <w:lang w:val="en-GB"/>
              </w:rPr>
              <w:t>Reference of your abstract and your poster board</w:t>
            </w:r>
          </w:p>
        </w:tc>
        <w:tc>
          <w:tcPr>
            <w:tcW w:w="3540" w:type="pct"/>
            <w:tcBorders>
              <w:top w:val="single" w:sz="8" w:space="0" w:color="000000"/>
              <w:bottom w:val="single" w:sz="8" w:space="0" w:color="000000"/>
              <w:right w:val="single" w:sz="8" w:space="0" w:color="000000"/>
            </w:tcBorders>
          </w:tcPr>
          <w:p w:rsidR="00570FA4" w:rsidRPr="003D69E3" w:rsidRDefault="00570FA4" w:rsidP="00C53112">
            <w:pPr>
              <w:widowControl w:val="0"/>
              <w:autoSpaceDE w:val="0"/>
              <w:autoSpaceDN w:val="0"/>
              <w:adjustRightInd w:val="0"/>
              <w:spacing w:after="0" w:line="240" w:lineRule="auto"/>
              <w:rPr>
                <w:rFonts w:ascii="Calibri" w:hAnsi="Calibri" w:cs="Calibri"/>
                <w:lang w:val="en-GB"/>
              </w:rPr>
            </w:pPr>
            <w:r w:rsidRPr="003D69E3">
              <w:rPr>
                <w:rFonts w:ascii="Calibri" w:hAnsi="Calibri" w:cs="Calibri"/>
                <w:color w:val="0000FF"/>
                <w:lang w:val="en-GB"/>
              </w:rPr>
              <w:t>PC-872-03</w:t>
            </w:r>
          </w:p>
        </w:tc>
      </w:tr>
      <w:tr w:rsidR="00570FA4" w:rsidRPr="008056AC" w:rsidTr="00C53112">
        <w:tblPrEx>
          <w:tblBorders>
            <w:top w:val="none" w:sz="0" w:space="0" w:color="auto"/>
          </w:tblBorders>
        </w:tblPrEx>
        <w:tc>
          <w:tcPr>
            <w:tcW w:w="1460" w:type="pct"/>
            <w:tcBorders>
              <w:left w:val="single" w:sz="8" w:space="0" w:color="000000"/>
              <w:bottom w:val="single" w:sz="8" w:space="0" w:color="000000"/>
              <w:right w:val="single" w:sz="8" w:space="0" w:color="000000"/>
            </w:tcBorders>
            <w:tcMar>
              <w:top w:w="140" w:type="nil"/>
              <w:right w:w="140" w:type="nil"/>
            </w:tcMar>
          </w:tcPr>
          <w:p w:rsidR="00570FA4" w:rsidRPr="003D69E3" w:rsidRDefault="00570FA4" w:rsidP="00C53112">
            <w:pPr>
              <w:widowControl w:val="0"/>
              <w:autoSpaceDE w:val="0"/>
              <w:autoSpaceDN w:val="0"/>
              <w:adjustRightInd w:val="0"/>
              <w:spacing w:after="0" w:line="240" w:lineRule="auto"/>
              <w:rPr>
                <w:rFonts w:ascii="Calibri" w:hAnsi="Calibri" w:cs="Calibri"/>
                <w:lang w:val="en-GB"/>
              </w:rPr>
            </w:pPr>
            <w:r w:rsidRPr="003D69E3">
              <w:rPr>
                <w:rFonts w:ascii="Calibri" w:hAnsi="Calibri" w:cs="Calibri"/>
                <w:b/>
                <w:bCs/>
                <w:color w:val="0000FF"/>
                <w:lang w:val="en-GB"/>
              </w:rPr>
              <w:t>Title of your abstract</w:t>
            </w:r>
          </w:p>
        </w:tc>
        <w:tc>
          <w:tcPr>
            <w:tcW w:w="3540" w:type="pct"/>
            <w:tcBorders>
              <w:bottom w:val="single" w:sz="8" w:space="0" w:color="000000"/>
              <w:right w:val="single" w:sz="8" w:space="0" w:color="000000"/>
            </w:tcBorders>
          </w:tcPr>
          <w:p w:rsidR="00570FA4" w:rsidRPr="003D69E3" w:rsidRDefault="00570FA4" w:rsidP="00C53112">
            <w:pPr>
              <w:widowControl w:val="0"/>
              <w:autoSpaceDE w:val="0"/>
              <w:autoSpaceDN w:val="0"/>
              <w:adjustRightInd w:val="0"/>
              <w:spacing w:after="0" w:line="240" w:lineRule="auto"/>
              <w:rPr>
                <w:rFonts w:ascii="Calibri" w:hAnsi="Calibri" w:cs="Calibri"/>
                <w:lang w:val="en-GB"/>
              </w:rPr>
            </w:pPr>
            <w:r w:rsidRPr="003D69E3">
              <w:rPr>
                <w:rFonts w:ascii="Calibri" w:hAnsi="Calibri" w:cs="Calibri"/>
                <w:color w:val="0000FF"/>
                <w:lang w:val="en-GB"/>
              </w:rPr>
              <w:t>Microcredit loan results within the ISIAT project adapting social protection to people living with TB</w:t>
            </w:r>
          </w:p>
        </w:tc>
      </w:tr>
      <w:tr w:rsidR="00570FA4" w:rsidRPr="003D69E3" w:rsidTr="00C53112">
        <w:tblPrEx>
          <w:tblBorders>
            <w:top w:val="none" w:sz="0" w:space="0" w:color="auto"/>
          </w:tblBorders>
        </w:tblPrEx>
        <w:tc>
          <w:tcPr>
            <w:tcW w:w="1460" w:type="pct"/>
            <w:tcBorders>
              <w:left w:val="single" w:sz="8" w:space="0" w:color="000000"/>
              <w:bottom w:val="single" w:sz="8" w:space="0" w:color="000000"/>
              <w:right w:val="single" w:sz="8" w:space="0" w:color="000000"/>
            </w:tcBorders>
            <w:tcMar>
              <w:top w:w="140" w:type="nil"/>
              <w:right w:w="140" w:type="nil"/>
            </w:tcMar>
          </w:tcPr>
          <w:p w:rsidR="00570FA4" w:rsidRPr="003D69E3" w:rsidRDefault="00570FA4" w:rsidP="00C53112">
            <w:pPr>
              <w:widowControl w:val="0"/>
              <w:autoSpaceDE w:val="0"/>
              <w:autoSpaceDN w:val="0"/>
              <w:adjustRightInd w:val="0"/>
              <w:spacing w:after="0" w:line="240" w:lineRule="auto"/>
              <w:rPr>
                <w:rFonts w:ascii="Calibri" w:hAnsi="Calibri" w:cs="Calibri"/>
                <w:lang w:val="en-GB"/>
              </w:rPr>
            </w:pPr>
            <w:r w:rsidRPr="003D69E3">
              <w:rPr>
                <w:rFonts w:ascii="Calibri" w:hAnsi="Calibri" w:cs="Calibri"/>
                <w:b/>
                <w:bCs/>
                <w:color w:val="0000FF"/>
                <w:lang w:val="en-GB"/>
              </w:rPr>
              <w:t>Type of session</w:t>
            </w:r>
          </w:p>
        </w:tc>
        <w:tc>
          <w:tcPr>
            <w:tcW w:w="3540" w:type="pct"/>
            <w:tcBorders>
              <w:bottom w:val="single" w:sz="8" w:space="0" w:color="000000"/>
              <w:right w:val="single" w:sz="8" w:space="0" w:color="000000"/>
            </w:tcBorders>
          </w:tcPr>
          <w:p w:rsidR="00570FA4" w:rsidRPr="003D69E3" w:rsidRDefault="00570FA4" w:rsidP="00C53112">
            <w:pPr>
              <w:widowControl w:val="0"/>
              <w:autoSpaceDE w:val="0"/>
              <w:autoSpaceDN w:val="0"/>
              <w:adjustRightInd w:val="0"/>
              <w:spacing w:after="0" w:line="240" w:lineRule="auto"/>
              <w:rPr>
                <w:rFonts w:ascii="Calibri" w:hAnsi="Calibri" w:cs="Calibri"/>
                <w:lang w:val="en-GB"/>
              </w:rPr>
            </w:pPr>
            <w:r w:rsidRPr="003D69E3">
              <w:rPr>
                <w:rFonts w:ascii="Calibri" w:hAnsi="Calibri" w:cs="Calibri"/>
                <w:color w:val="0000FF"/>
                <w:lang w:val="en-GB"/>
              </w:rPr>
              <w:t>Poster Discussion session</w:t>
            </w:r>
          </w:p>
        </w:tc>
      </w:tr>
      <w:tr w:rsidR="00570FA4" w:rsidRPr="008056AC" w:rsidTr="00C53112">
        <w:tblPrEx>
          <w:tblBorders>
            <w:top w:val="none" w:sz="0" w:space="0" w:color="auto"/>
          </w:tblBorders>
        </w:tblPrEx>
        <w:tc>
          <w:tcPr>
            <w:tcW w:w="1460" w:type="pct"/>
            <w:tcBorders>
              <w:left w:val="single" w:sz="8" w:space="0" w:color="000000"/>
              <w:bottom w:val="single" w:sz="8" w:space="0" w:color="000000"/>
              <w:right w:val="single" w:sz="8" w:space="0" w:color="000000"/>
            </w:tcBorders>
            <w:tcMar>
              <w:top w:w="140" w:type="nil"/>
              <w:right w:w="140" w:type="nil"/>
            </w:tcMar>
          </w:tcPr>
          <w:p w:rsidR="00570FA4" w:rsidRPr="003D69E3" w:rsidRDefault="00570FA4" w:rsidP="00C53112">
            <w:pPr>
              <w:widowControl w:val="0"/>
              <w:autoSpaceDE w:val="0"/>
              <w:autoSpaceDN w:val="0"/>
              <w:adjustRightInd w:val="0"/>
              <w:spacing w:after="0" w:line="240" w:lineRule="auto"/>
              <w:rPr>
                <w:rFonts w:ascii="Calibri" w:hAnsi="Calibri" w:cs="Calibri"/>
                <w:lang w:val="en-GB"/>
              </w:rPr>
            </w:pPr>
            <w:r w:rsidRPr="003D69E3">
              <w:rPr>
                <w:rFonts w:ascii="Calibri" w:hAnsi="Calibri" w:cs="Calibri"/>
                <w:b/>
                <w:bCs/>
                <w:color w:val="0000FF"/>
                <w:lang w:val="en-GB"/>
              </w:rPr>
              <w:t>Title of session</w:t>
            </w:r>
          </w:p>
        </w:tc>
        <w:tc>
          <w:tcPr>
            <w:tcW w:w="3540" w:type="pct"/>
            <w:tcBorders>
              <w:bottom w:val="single" w:sz="8" w:space="0" w:color="000000"/>
              <w:right w:val="single" w:sz="8" w:space="0" w:color="000000"/>
            </w:tcBorders>
          </w:tcPr>
          <w:p w:rsidR="00570FA4" w:rsidRPr="003D69E3" w:rsidRDefault="00570FA4" w:rsidP="00C53112">
            <w:pPr>
              <w:widowControl w:val="0"/>
              <w:autoSpaceDE w:val="0"/>
              <w:autoSpaceDN w:val="0"/>
              <w:adjustRightInd w:val="0"/>
              <w:spacing w:after="0" w:line="240" w:lineRule="auto"/>
              <w:rPr>
                <w:rFonts w:ascii="Calibri" w:hAnsi="Calibri" w:cs="Calibri"/>
                <w:lang w:val="en-GB"/>
              </w:rPr>
            </w:pPr>
            <w:r w:rsidRPr="003D69E3">
              <w:rPr>
                <w:rFonts w:ascii="Calibri" w:hAnsi="Calibri" w:cs="Calibri"/>
                <w:color w:val="0000FF"/>
                <w:lang w:val="en-GB"/>
              </w:rPr>
              <w:t>52. Community issues in TB control</w:t>
            </w:r>
          </w:p>
        </w:tc>
      </w:tr>
      <w:tr w:rsidR="00570FA4" w:rsidRPr="003D69E3" w:rsidTr="00C53112">
        <w:tc>
          <w:tcPr>
            <w:tcW w:w="1460" w:type="pct"/>
            <w:tcBorders>
              <w:left w:val="single" w:sz="8" w:space="0" w:color="000000"/>
              <w:bottom w:val="single" w:sz="8" w:space="0" w:color="000000"/>
              <w:right w:val="single" w:sz="8" w:space="0" w:color="000000"/>
            </w:tcBorders>
            <w:tcMar>
              <w:top w:w="140" w:type="nil"/>
              <w:right w:w="140" w:type="nil"/>
            </w:tcMar>
          </w:tcPr>
          <w:p w:rsidR="00570FA4" w:rsidRPr="003D69E3" w:rsidRDefault="00570FA4" w:rsidP="00C53112">
            <w:pPr>
              <w:widowControl w:val="0"/>
              <w:autoSpaceDE w:val="0"/>
              <w:autoSpaceDN w:val="0"/>
              <w:adjustRightInd w:val="0"/>
              <w:spacing w:after="0" w:line="240" w:lineRule="auto"/>
              <w:rPr>
                <w:rFonts w:ascii="Calibri" w:hAnsi="Calibri" w:cs="Calibri"/>
                <w:lang w:val="en-GB"/>
              </w:rPr>
            </w:pPr>
            <w:r w:rsidRPr="003D69E3">
              <w:rPr>
                <w:rFonts w:ascii="Calibri" w:hAnsi="Calibri" w:cs="Calibri"/>
                <w:b/>
                <w:bCs/>
                <w:color w:val="0000FF"/>
                <w:lang w:val="en-GB"/>
              </w:rPr>
              <w:t>Date, time and place</w:t>
            </w:r>
          </w:p>
        </w:tc>
        <w:tc>
          <w:tcPr>
            <w:tcW w:w="3540" w:type="pct"/>
            <w:tcBorders>
              <w:bottom w:val="single" w:sz="8" w:space="0" w:color="000000"/>
              <w:right w:val="single" w:sz="8" w:space="0" w:color="000000"/>
            </w:tcBorders>
          </w:tcPr>
          <w:p w:rsidR="00570FA4" w:rsidRPr="003D69E3" w:rsidRDefault="00570FA4" w:rsidP="00C53112">
            <w:pPr>
              <w:widowControl w:val="0"/>
              <w:autoSpaceDE w:val="0"/>
              <w:autoSpaceDN w:val="0"/>
              <w:adjustRightInd w:val="0"/>
              <w:spacing w:after="0" w:line="240" w:lineRule="auto"/>
              <w:jc w:val="both"/>
              <w:rPr>
                <w:rFonts w:ascii="Calibri" w:hAnsi="Calibri" w:cs="Calibri"/>
                <w:lang w:val="en-GB"/>
              </w:rPr>
            </w:pPr>
            <w:r w:rsidRPr="003D69E3">
              <w:rPr>
                <w:rFonts w:ascii="Calibri" w:hAnsi="Calibri" w:cs="Calibri"/>
                <w:color w:val="0000FF"/>
                <w:lang w:val="en-GB"/>
              </w:rPr>
              <w:t>Sunday, 3 November 2013 from 12:45 to 13:45</w:t>
            </w:r>
          </w:p>
        </w:tc>
      </w:tr>
    </w:tbl>
    <w:p w:rsidR="002B3F30" w:rsidRPr="00570FA4" w:rsidRDefault="00570FA4">
      <w:pPr>
        <w:rPr>
          <w:lang w:val="en-GB"/>
        </w:rPr>
      </w:pPr>
      <w:r w:rsidRPr="003D69E3">
        <w:rPr>
          <w:rFonts w:ascii="Calibri" w:hAnsi="Calibri" w:cs="Calibri"/>
          <w:lang w:val="en-GB"/>
        </w:rPr>
        <w:t> </w:t>
      </w:r>
    </w:p>
    <w:sectPr w:rsidR="002B3F30" w:rsidRPr="00570FA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5E1" w:rsidRDefault="00C655E1" w:rsidP="00570FA4">
      <w:pPr>
        <w:spacing w:after="0" w:line="240" w:lineRule="auto"/>
      </w:pPr>
      <w:r>
        <w:separator/>
      </w:r>
    </w:p>
  </w:endnote>
  <w:endnote w:type="continuationSeparator" w:id="0">
    <w:p w:rsidR="00C655E1" w:rsidRDefault="00C655E1" w:rsidP="00570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413377"/>
      <w:docPartObj>
        <w:docPartGallery w:val="Page Numbers (Bottom of Page)"/>
        <w:docPartUnique/>
      </w:docPartObj>
    </w:sdtPr>
    <w:sdtEndPr>
      <w:rPr>
        <w:noProof/>
      </w:rPr>
    </w:sdtEndPr>
    <w:sdtContent>
      <w:p w:rsidR="00570FA4" w:rsidRDefault="00570FA4">
        <w:pPr>
          <w:pStyle w:val="Piedepgina"/>
          <w:jc w:val="right"/>
        </w:pPr>
        <w:r>
          <w:fldChar w:fldCharType="begin"/>
        </w:r>
        <w:r>
          <w:instrText xml:space="preserve"> PAGE   \* MERGEFORMAT </w:instrText>
        </w:r>
        <w:r>
          <w:fldChar w:fldCharType="separate"/>
        </w:r>
        <w:r w:rsidR="008056AC">
          <w:rPr>
            <w:noProof/>
          </w:rPr>
          <w:t>1</w:t>
        </w:r>
        <w:r>
          <w:rPr>
            <w:noProof/>
          </w:rPr>
          <w:fldChar w:fldCharType="end"/>
        </w:r>
      </w:p>
    </w:sdtContent>
  </w:sdt>
  <w:p w:rsidR="00570FA4" w:rsidRDefault="00570F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5E1" w:rsidRDefault="00C655E1" w:rsidP="00570FA4">
      <w:pPr>
        <w:spacing w:after="0" w:line="240" w:lineRule="auto"/>
      </w:pPr>
      <w:r>
        <w:separator/>
      </w:r>
    </w:p>
  </w:footnote>
  <w:footnote w:type="continuationSeparator" w:id="0">
    <w:p w:rsidR="00C655E1" w:rsidRDefault="00C655E1" w:rsidP="00570F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73109"/>
    <w:multiLevelType w:val="hybridMultilevel"/>
    <w:tmpl w:val="CB90FF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FA4"/>
    <w:rsid w:val="002B3F30"/>
    <w:rsid w:val="00570FA4"/>
    <w:rsid w:val="00681F12"/>
    <w:rsid w:val="008056AC"/>
    <w:rsid w:val="00C65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A4"/>
    <w:pPr>
      <w:spacing w:after="200" w:line="276" w:lineRule="auto"/>
    </w:pPr>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0FA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570FA4"/>
    <w:rPr>
      <w:lang w:val="es-PE"/>
    </w:rPr>
  </w:style>
  <w:style w:type="paragraph" w:styleId="Piedepgina">
    <w:name w:val="footer"/>
    <w:basedOn w:val="Normal"/>
    <w:link w:val="PiedepginaCar"/>
    <w:uiPriority w:val="99"/>
    <w:unhideWhenUsed/>
    <w:rsid w:val="00570FA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570FA4"/>
    <w:rPr>
      <w:lang w:val="es-PE"/>
    </w:rPr>
  </w:style>
  <w:style w:type="paragraph" w:styleId="Textodeglobo">
    <w:name w:val="Balloon Text"/>
    <w:basedOn w:val="Normal"/>
    <w:link w:val="TextodegloboCar"/>
    <w:uiPriority w:val="99"/>
    <w:semiHidden/>
    <w:unhideWhenUsed/>
    <w:rsid w:val="008056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56AC"/>
    <w:rPr>
      <w:rFonts w:ascii="Tahoma" w:hAnsi="Tahoma" w:cs="Tahoma"/>
      <w:sz w:val="16"/>
      <w:szCs w:val="16"/>
      <w:lang w:val="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A4"/>
    <w:pPr>
      <w:spacing w:after="200" w:line="276" w:lineRule="auto"/>
    </w:pPr>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0FA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570FA4"/>
    <w:rPr>
      <w:lang w:val="es-PE"/>
    </w:rPr>
  </w:style>
  <w:style w:type="paragraph" w:styleId="Piedepgina">
    <w:name w:val="footer"/>
    <w:basedOn w:val="Normal"/>
    <w:link w:val="PiedepginaCar"/>
    <w:uiPriority w:val="99"/>
    <w:unhideWhenUsed/>
    <w:rsid w:val="00570FA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570FA4"/>
    <w:rPr>
      <w:lang w:val="es-PE"/>
    </w:rPr>
  </w:style>
  <w:style w:type="paragraph" w:styleId="Textodeglobo">
    <w:name w:val="Balloon Text"/>
    <w:basedOn w:val="Normal"/>
    <w:link w:val="TextodegloboCar"/>
    <w:uiPriority w:val="99"/>
    <w:semiHidden/>
    <w:unhideWhenUsed/>
    <w:rsid w:val="008056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56AC"/>
    <w:rPr>
      <w:rFonts w:ascii="Tahoma" w:hAnsi="Tahoma" w:cs="Tahoma"/>
      <w:sz w:val="16"/>
      <w:szCs w:val="16"/>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M</dc:creator>
  <cp:keywords/>
  <dc:description/>
  <cp:lastModifiedBy>JONATHAN</cp:lastModifiedBy>
  <cp:revision>2</cp:revision>
  <dcterms:created xsi:type="dcterms:W3CDTF">2020-06-25T12:09:00Z</dcterms:created>
  <dcterms:modified xsi:type="dcterms:W3CDTF">2020-06-29T17:18:00Z</dcterms:modified>
</cp:coreProperties>
</file>