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E7" w:rsidRPr="00492DB2" w:rsidRDefault="00EC7BE7" w:rsidP="00EC7BE7">
      <w:pPr>
        <w:shd w:val="clear" w:color="auto" w:fill="0C0C0C"/>
        <w:jc w:val="center"/>
      </w:pPr>
      <w:proofErr w:type="spellStart"/>
      <w:r w:rsidRPr="00492DB2">
        <w:t>Sunday</w:t>
      </w:r>
      <w:proofErr w:type="spellEnd"/>
      <w:r w:rsidRPr="00492DB2">
        <w:t xml:space="preserve"> 3rd </w:t>
      </w:r>
      <w:proofErr w:type="spellStart"/>
      <w:r w:rsidRPr="00492DB2">
        <w:t>November</w:t>
      </w:r>
      <w:proofErr w:type="spellEnd"/>
    </w:p>
    <w:p w:rsidR="00EC7BE7" w:rsidRPr="00A20775" w:rsidRDefault="00EC7BE7" w:rsidP="00EC7BE7">
      <w:pPr>
        <w:pStyle w:val="Ttulo1"/>
        <w:spacing w:after="120"/>
        <w:jc w:val="center"/>
        <w:rPr>
          <w:rFonts w:ascii="Arial" w:eastAsia="Cambria" w:hAnsi="Arial" w:cs="Arial"/>
          <w:b/>
          <w:color w:val="000000" w:themeColor="text1"/>
          <w:sz w:val="22"/>
          <w:szCs w:val="22"/>
          <w:lang w:val="es-ES_tradnl"/>
        </w:rPr>
      </w:pPr>
      <w:bookmarkStart w:id="0" w:name="_Toc368653823"/>
      <w:r w:rsidRPr="00A20775">
        <w:rPr>
          <w:rFonts w:ascii="Arial" w:eastAsia="Cambria" w:hAnsi="Arial" w:cs="Arial"/>
          <w:b/>
          <w:color w:val="000000" w:themeColor="text1"/>
          <w:sz w:val="22"/>
          <w:szCs w:val="22"/>
          <w:lang w:val="es-ES_tradnl"/>
        </w:rPr>
        <w:t>Resultados de préstamos de microcrédito dentro del proyecto ISEAT adaptando protección social para personas viviendo con TB</w:t>
      </w:r>
      <w:bookmarkEnd w:id="0"/>
    </w:p>
    <w:p w:rsidR="00EC7BE7" w:rsidRPr="00D60CF4" w:rsidRDefault="00EC7BE7" w:rsidP="00EC7BE7">
      <w:pPr>
        <w:spacing w:line="240" w:lineRule="auto"/>
        <w:rPr>
          <w:rFonts w:eastAsia="Cambria" w:cstheme="minorHAnsi"/>
          <w:lang w:val="es-ES_tradnl"/>
        </w:rPr>
      </w:pPr>
      <w:proofErr w:type="spellStart"/>
      <w:r w:rsidRPr="00D60CF4">
        <w:rPr>
          <w:rFonts w:eastAsia="Cambria" w:cstheme="minorHAnsi"/>
          <w:u w:val="single"/>
          <w:lang w:val="es-ES_tradnl"/>
        </w:rPr>
        <w:t>Jason</w:t>
      </w:r>
      <w:proofErr w:type="spellEnd"/>
      <w:r w:rsidRPr="00D60CF4">
        <w:rPr>
          <w:rFonts w:eastAsia="Cambria" w:cstheme="minorHAnsi"/>
          <w:u w:val="single"/>
          <w:lang w:val="es-ES_tradnl"/>
        </w:rPr>
        <w:t xml:space="preserve"> P Kahn</w:t>
      </w:r>
      <w:r w:rsidRPr="00D60CF4">
        <w:rPr>
          <w:rFonts w:eastAsia="Cambria" w:cstheme="minorHAnsi"/>
          <w:u w:val="single"/>
          <w:vertAlign w:val="superscript"/>
          <w:lang w:val="es-ES_tradnl"/>
        </w:rPr>
        <w:t>1</w:t>
      </w:r>
      <w:r w:rsidRPr="00D60CF4">
        <w:rPr>
          <w:rFonts w:eastAsia="Cambria" w:cstheme="minorHAnsi"/>
          <w:lang w:val="es-ES_tradnl"/>
        </w:rPr>
        <w:t xml:space="preserve">, </w:t>
      </w:r>
      <w:r w:rsidRPr="00D60CF4">
        <w:rPr>
          <w:rFonts w:eastAsia="Cambria" w:cstheme="minorHAnsi"/>
          <w:bCs/>
          <w:lang w:val="es-ES_tradnl"/>
        </w:rPr>
        <w:t>F Concha</w:t>
      </w:r>
      <w:r w:rsidRPr="00D60CF4">
        <w:rPr>
          <w:rFonts w:eastAsia="Cambria" w:cstheme="minorHAnsi"/>
          <w:vertAlign w:val="superscript"/>
          <w:lang w:val="es-ES_tradnl"/>
        </w:rPr>
        <w:t>2</w:t>
      </w:r>
      <w:r w:rsidRPr="00D60CF4">
        <w:rPr>
          <w:rFonts w:eastAsia="Cambria" w:cstheme="minorHAnsi"/>
          <w:lang w:val="es-ES_tradnl"/>
        </w:rPr>
        <w:t>, C Rocha</w:t>
      </w:r>
      <w:r w:rsidRPr="00D60CF4">
        <w:rPr>
          <w:rFonts w:eastAsia="Cambria" w:cstheme="minorHAnsi"/>
          <w:vertAlign w:val="superscript"/>
          <w:lang w:val="es-ES_tradnl"/>
        </w:rPr>
        <w:t>1</w:t>
      </w:r>
      <w:proofErr w:type="gramStart"/>
      <w:r w:rsidRPr="00D60CF4">
        <w:rPr>
          <w:rFonts w:eastAsia="Cambria" w:cstheme="minorHAnsi"/>
          <w:vertAlign w:val="superscript"/>
          <w:lang w:val="es-ES_tradnl"/>
        </w:rPr>
        <w:t>,5</w:t>
      </w:r>
      <w:proofErr w:type="gramEnd"/>
      <w:r w:rsidRPr="00D60CF4">
        <w:rPr>
          <w:rFonts w:eastAsia="Cambria" w:cstheme="minorHAnsi"/>
          <w:lang w:val="es-ES_tradnl"/>
        </w:rPr>
        <w:t>, R Montoya</w:t>
      </w:r>
      <w:r w:rsidRPr="00D60CF4">
        <w:rPr>
          <w:rFonts w:eastAsia="Cambria" w:cstheme="minorHAnsi"/>
          <w:vertAlign w:val="superscript"/>
          <w:lang w:val="es-ES_tradnl"/>
        </w:rPr>
        <w:t>1</w:t>
      </w:r>
      <w:r w:rsidRPr="00D60CF4">
        <w:rPr>
          <w:rFonts w:eastAsia="Cambria" w:cstheme="minorHAnsi"/>
          <w:lang w:val="es-ES_tradnl"/>
        </w:rPr>
        <w:t>, W Ynga</w:t>
      </w:r>
      <w:r w:rsidRPr="00D60CF4">
        <w:rPr>
          <w:rFonts w:eastAsia="Cambria" w:cstheme="minorHAnsi"/>
          <w:vertAlign w:val="superscript"/>
          <w:lang w:val="es-ES_tradnl"/>
        </w:rPr>
        <w:t>1</w:t>
      </w:r>
      <w:r w:rsidRPr="00D60CF4">
        <w:rPr>
          <w:rFonts w:eastAsia="Cambria" w:cstheme="minorHAnsi"/>
          <w:lang w:val="es-ES_tradnl"/>
        </w:rPr>
        <w:t>, MA Tovar</w:t>
      </w:r>
      <w:r w:rsidRPr="00D60CF4">
        <w:rPr>
          <w:rFonts w:eastAsia="Cambria" w:cstheme="minorHAnsi"/>
          <w:vertAlign w:val="superscript"/>
          <w:lang w:val="es-ES_tradnl"/>
        </w:rPr>
        <w:t>1</w:t>
      </w:r>
      <w:r w:rsidRPr="00D60CF4">
        <w:rPr>
          <w:rFonts w:eastAsia="Cambria" w:cstheme="minorHAnsi"/>
          <w:lang w:val="es-ES_tradnl"/>
        </w:rPr>
        <w:t>, Delia Boccia</w:t>
      </w:r>
      <w:r w:rsidRPr="00D60CF4">
        <w:rPr>
          <w:rFonts w:eastAsia="Cambria" w:cstheme="minorHAnsi"/>
          <w:vertAlign w:val="superscript"/>
          <w:lang w:val="es-ES_tradnl"/>
        </w:rPr>
        <w:t>3</w:t>
      </w:r>
      <w:r w:rsidRPr="00D60CF4">
        <w:rPr>
          <w:rFonts w:eastAsia="Cambria" w:cstheme="minorHAnsi"/>
          <w:lang w:val="es-ES_tradnl"/>
        </w:rPr>
        <w:t xml:space="preserve">, </w:t>
      </w:r>
      <w:proofErr w:type="spellStart"/>
      <w:r w:rsidRPr="00D60CF4">
        <w:rPr>
          <w:rFonts w:eastAsia="Cambria" w:cstheme="minorHAnsi"/>
          <w:lang w:val="es-ES_tradnl"/>
        </w:rPr>
        <w:t>Carlton</w:t>
      </w:r>
      <w:proofErr w:type="spellEnd"/>
      <w:r w:rsidRPr="00D60CF4">
        <w:rPr>
          <w:rFonts w:eastAsia="Cambria" w:cstheme="minorHAnsi"/>
          <w:lang w:val="es-ES_tradnl"/>
        </w:rPr>
        <w:t xml:space="preserve"> A Evans</w:t>
      </w:r>
      <w:r w:rsidRPr="00D60CF4">
        <w:rPr>
          <w:rFonts w:eastAsia="Cambria" w:cstheme="minorHAnsi"/>
          <w:vertAlign w:val="superscript"/>
          <w:lang w:val="es-ES_tradnl"/>
        </w:rPr>
        <w:t>1,4</w:t>
      </w:r>
    </w:p>
    <w:p w:rsidR="00EC7BE7" w:rsidRPr="00786BA6" w:rsidRDefault="00EC7BE7" w:rsidP="00EC7BE7">
      <w:pPr>
        <w:numPr>
          <w:ilvl w:val="0"/>
          <w:numId w:val="1"/>
        </w:numPr>
        <w:spacing w:line="240" w:lineRule="auto"/>
        <w:contextualSpacing/>
        <w:rPr>
          <w:rFonts w:eastAsia="Cambria" w:cstheme="minorHAnsi"/>
          <w:lang w:val="en-GB"/>
        </w:rPr>
      </w:pPr>
      <w:r w:rsidRPr="00786BA6">
        <w:rPr>
          <w:rFonts w:eastAsia="Cambria" w:cstheme="minorHAnsi"/>
          <w:lang w:val="en-GB"/>
        </w:rPr>
        <w:t xml:space="preserve">IFHAD: Innovation for Health And Development, Universidad </w:t>
      </w:r>
      <w:proofErr w:type="spellStart"/>
      <w:r w:rsidRPr="00786BA6">
        <w:rPr>
          <w:rFonts w:eastAsia="Cambria" w:cstheme="minorHAnsi"/>
          <w:lang w:val="en-GB"/>
        </w:rPr>
        <w:t>Peruana</w:t>
      </w:r>
      <w:proofErr w:type="spellEnd"/>
      <w:r w:rsidRPr="00786BA6">
        <w:rPr>
          <w:rFonts w:eastAsia="Cambria" w:cstheme="minorHAnsi"/>
          <w:lang w:val="en-GB"/>
        </w:rPr>
        <w:t xml:space="preserve"> </w:t>
      </w:r>
      <w:proofErr w:type="spellStart"/>
      <w:r w:rsidRPr="00786BA6">
        <w:rPr>
          <w:rFonts w:eastAsia="Cambria" w:cstheme="minorHAnsi"/>
          <w:lang w:val="en-GB"/>
        </w:rPr>
        <w:t>Cayetano</w:t>
      </w:r>
      <w:proofErr w:type="spellEnd"/>
      <w:r w:rsidRPr="00786BA6">
        <w:rPr>
          <w:rFonts w:eastAsia="Cambria" w:cstheme="minorHAnsi"/>
          <w:lang w:val="en-GB"/>
        </w:rPr>
        <w:t xml:space="preserve"> Heredia, Lima, Peru</w:t>
      </w:r>
    </w:p>
    <w:p w:rsidR="00EC7BE7" w:rsidRPr="00D60CF4" w:rsidRDefault="00EC7BE7" w:rsidP="00EC7BE7">
      <w:pPr>
        <w:numPr>
          <w:ilvl w:val="0"/>
          <w:numId w:val="1"/>
        </w:numPr>
        <w:spacing w:line="240" w:lineRule="auto"/>
        <w:contextualSpacing/>
        <w:rPr>
          <w:rFonts w:eastAsia="Cambria" w:cstheme="minorHAnsi"/>
          <w:lang w:val="es-ES_tradnl"/>
        </w:rPr>
      </w:pPr>
      <w:proofErr w:type="spellStart"/>
      <w:r w:rsidRPr="00D60CF4">
        <w:rPr>
          <w:rFonts w:eastAsia="Cambria" w:cstheme="minorHAnsi"/>
          <w:lang w:val="es-ES_tradnl"/>
        </w:rPr>
        <w:t>Microfinanzas</w:t>
      </w:r>
      <w:proofErr w:type="spellEnd"/>
      <w:r w:rsidRPr="00D60CF4">
        <w:rPr>
          <w:rFonts w:eastAsia="Cambria" w:cstheme="minorHAnsi"/>
          <w:lang w:val="es-ES_tradnl"/>
        </w:rPr>
        <w:t xml:space="preserve"> PRISMA, Lima, </w:t>
      </w:r>
      <w:proofErr w:type="spellStart"/>
      <w:r w:rsidRPr="00D60CF4">
        <w:rPr>
          <w:rFonts w:eastAsia="Cambria" w:cstheme="minorHAnsi"/>
          <w:lang w:val="es-ES_tradnl"/>
        </w:rPr>
        <w:t>Peru</w:t>
      </w:r>
      <w:proofErr w:type="spellEnd"/>
    </w:p>
    <w:p w:rsidR="00EC7BE7" w:rsidRPr="00786BA6" w:rsidRDefault="00EC7BE7" w:rsidP="00EC7BE7">
      <w:pPr>
        <w:numPr>
          <w:ilvl w:val="0"/>
          <w:numId w:val="1"/>
        </w:numPr>
        <w:spacing w:line="240" w:lineRule="auto"/>
        <w:contextualSpacing/>
        <w:rPr>
          <w:rFonts w:eastAsia="Cambria" w:cstheme="minorHAnsi"/>
          <w:lang w:val="en-GB"/>
        </w:rPr>
      </w:pPr>
      <w:r w:rsidRPr="00786BA6">
        <w:rPr>
          <w:rFonts w:eastAsia="Cambria" w:cstheme="minorHAnsi"/>
          <w:lang w:val="en-GB"/>
        </w:rPr>
        <w:t xml:space="preserve">Faculty of Epidemiology &amp; Population Health, </w:t>
      </w:r>
      <w:proofErr w:type="spellStart"/>
      <w:r w:rsidRPr="00786BA6">
        <w:rPr>
          <w:rFonts w:eastAsia="Cambria" w:cstheme="minorHAnsi"/>
          <w:lang w:val="en-GB"/>
        </w:rPr>
        <w:t>Dept</w:t>
      </w:r>
      <w:proofErr w:type="spellEnd"/>
      <w:r w:rsidRPr="00786BA6">
        <w:rPr>
          <w:rFonts w:eastAsia="Cambria" w:cstheme="minorHAnsi"/>
          <w:lang w:val="en-GB"/>
        </w:rPr>
        <w:t xml:space="preserve"> Infectious Disease Epidemiology, London School of Hygiene and Tropical Medicine</w:t>
      </w:r>
    </w:p>
    <w:p w:rsidR="00EC7BE7" w:rsidRPr="00786BA6" w:rsidRDefault="00EC7BE7" w:rsidP="00EC7BE7">
      <w:pPr>
        <w:numPr>
          <w:ilvl w:val="0"/>
          <w:numId w:val="1"/>
        </w:numPr>
        <w:spacing w:line="240" w:lineRule="auto"/>
        <w:contextualSpacing/>
        <w:rPr>
          <w:rFonts w:eastAsia="Cambria" w:cstheme="minorHAnsi"/>
          <w:lang w:val="en-GB"/>
        </w:rPr>
      </w:pPr>
      <w:r w:rsidRPr="00786BA6">
        <w:rPr>
          <w:rFonts w:eastAsia="Cambria" w:cstheme="minorHAnsi"/>
          <w:lang w:val="en-GB"/>
        </w:rPr>
        <w:t>Section of Infectious Diseases &amp; Wellcome Centre, Imperial College London, UK</w:t>
      </w:r>
    </w:p>
    <w:p w:rsidR="00EC7BE7" w:rsidRDefault="00EC7BE7" w:rsidP="00EC7BE7">
      <w:pPr>
        <w:numPr>
          <w:ilvl w:val="0"/>
          <w:numId w:val="1"/>
        </w:numPr>
        <w:spacing w:line="240" w:lineRule="auto"/>
        <w:contextualSpacing/>
        <w:rPr>
          <w:rFonts w:eastAsia="Cambria" w:cstheme="minorHAnsi"/>
          <w:lang w:val="es-ES_tradnl"/>
        </w:rPr>
      </w:pPr>
      <w:r w:rsidRPr="00D60CF4">
        <w:rPr>
          <w:rFonts w:eastAsia="Cambria" w:cstheme="minorHAnsi"/>
          <w:lang w:val="es-ES_tradnl"/>
        </w:rPr>
        <w:t xml:space="preserve">Naval Medical </w:t>
      </w:r>
      <w:proofErr w:type="spellStart"/>
      <w:r w:rsidRPr="00D60CF4">
        <w:rPr>
          <w:rFonts w:eastAsia="Cambria" w:cstheme="minorHAnsi"/>
          <w:lang w:val="es-ES_tradnl"/>
        </w:rPr>
        <w:t>Research</w:t>
      </w:r>
      <w:proofErr w:type="spellEnd"/>
      <w:r w:rsidRPr="00D60CF4">
        <w:rPr>
          <w:rFonts w:eastAsia="Cambria" w:cstheme="minorHAnsi"/>
          <w:lang w:val="es-ES_tradnl"/>
        </w:rPr>
        <w:t xml:space="preserve"> </w:t>
      </w:r>
      <w:proofErr w:type="spellStart"/>
      <w:r w:rsidRPr="00D60CF4">
        <w:rPr>
          <w:rFonts w:eastAsia="Cambria" w:cstheme="minorHAnsi"/>
          <w:lang w:val="es-ES_tradnl"/>
        </w:rPr>
        <w:t>Unit</w:t>
      </w:r>
      <w:proofErr w:type="spellEnd"/>
      <w:r w:rsidRPr="00D60CF4">
        <w:rPr>
          <w:rFonts w:eastAsia="Cambria" w:cstheme="minorHAnsi"/>
          <w:lang w:val="es-ES_tradnl"/>
        </w:rPr>
        <w:t xml:space="preserve"> No 6, Lima, Perú</w:t>
      </w:r>
    </w:p>
    <w:p w:rsidR="00EC7BE7" w:rsidRDefault="00EC7BE7" w:rsidP="00EC7BE7">
      <w:pPr>
        <w:spacing w:line="240" w:lineRule="auto"/>
        <w:contextualSpacing/>
        <w:rPr>
          <w:rFonts w:eastAsia="Cambria" w:cstheme="minorHAnsi"/>
          <w:lang w:val="es-ES_tradnl"/>
        </w:rPr>
      </w:pPr>
    </w:p>
    <w:p w:rsidR="00EC7BE7" w:rsidRDefault="00EC7BE7" w:rsidP="00A20775">
      <w:pPr>
        <w:spacing w:line="240" w:lineRule="auto"/>
        <w:contextualSpacing/>
        <w:jc w:val="both"/>
        <w:rPr>
          <w:rFonts w:eastAsia="Cambria" w:cstheme="minorHAnsi"/>
          <w:lang w:val="es-ES_tradnl"/>
        </w:rPr>
      </w:pPr>
      <w:r w:rsidRPr="00A20775">
        <w:rPr>
          <w:rFonts w:ascii="Arial" w:eastAsia="Cambria" w:hAnsi="Arial" w:cs="Arial"/>
          <w:b/>
          <w:color w:val="000000" w:themeColor="text1"/>
          <w:lang w:val="es-ES_tradnl"/>
        </w:rPr>
        <w:t>Introducción:</w:t>
      </w:r>
      <w:r>
        <w:rPr>
          <w:rFonts w:eastAsia="Cambria" w:cstheme="minorHAnsi"/>
          <w:lang w:val="es-ES_tradnl"/>
        </w:rPr>
        <w:t xml:space="preserve"> Préstamos de microcréditos han sido empleados en diversos lugares para reducir la pobreza,  que confunde el control de TB.  Sin embargo, la importancia de préstamos de microcrédito para personas afectadas por tuberculosis (TB) es indefinida. Nos propusimos evaluar los préstamos de microcrédito para hogares pobres afectados por TB.</w:t>
      </w:r>
    </w:p>
    <w:p w:rsidR="00EC7BE7" w:rsidRDefault="00EC7BE7" w:rsidP="00A20775">
      <w:pPr>
        <w:spacing w:line="240" w:lineRule="auto"/>
        <w:contextualSpacing/>
        <w:jc w:val="both"/>
        <w:rPr>
          <w:rFonts w:eastAsia="Cambria" w:cstheme="minorHAnsi"/>
          <w:lang w:val="es-ES_tradnl"/>
        </w:rPr>
      </w:pPr>
    </w:p>
    <w:p w:rsidR="00EC7BE7" w:rsidRDefault="00EC7BE7" w:rsidP="00A20775">
      <w:pPr>
        <w:spacing w:line="240" w:lineRule="auto"/>
        <w:contextualSpacing/>
        <w:jc w:val="both"/>
        <w:rPr>
          <w:rFonts w:eastAsiaTheme="minorEastAsia" w:cs="Times"/>
          <w:position w:val="2"/>
          <w:lang w:val="es-ES_tradnl" w:eastAsia="sv-SE"/>
        </w:rPr>
      </w:pPr>
      <w:r w:rsidRPr="00A20775">
        <w:rPr>
          <w:rFonts w:ascii="Arial" w:eastAsia="Cambria" w:hAnsi="Arial" w:cs="Arial"/>
          <w:b/>
          <w:color w:val="000000" w:themeColor="text1"/>
          <w:lang w:val="es-ES_tradnl"/>
        </w:rPr>
        <w:t>Métodos:</w:t>
      </w:r>
      <w:r w:rsidRPr="005D67FB">
        <w:rPr>
          <w:rFonts w:eastAsia="Cambria" w:cstheme="minorHAnsi"/>
          <w:lang w:val="es-ES_tradnl"/>
        </w:rPr>
        <w:t xml:space="preserve"> El estudio formaba parte del proyecto I</w:t>
      </w:r>
      <w:r w:rsidRPr="005D67FB">
        <w:rPr>
          <w:rFonts w:eastAsiaTheme="minorEastAsia" w:cs="Times"/>
          <w:position w:val="2"/>
          <w:lang w:val="es-ES_tradnl" w:eastAsia="sv-SE"/>
        </w:rPr>
        <w:t>ntervenciones Socio Económicas Ante-TBC (ISEAT) en Lima, Perú</w:t>
      </w:r>
      <w:r>
        <w:rPr>
          <w:rFonts w:eastAsiaTheme="minorEastAsia" w:cs="Times"/>
          <w:position w:val="2"/>
          <w:lang w:val="es-ES_tradnl" w:eastAsia="sv-SE"/>
        </w:rPr>
        <w:t xml:space="preserve"> que se asoció con una organización de microcrédito reconocida. Los clientes participantes recibieron un plan de reembolso de  préstamos y pagos atrasados fueron sometidos a cobros adicionales. </w:t>
      </w:r>
    </w:p>
    <w:p w:rsidR="00EC7BE7" w:rsidRDefault="00EC7BE7" w:rsidP="00A20775">
      <w:pPr>
        <w:spacing w:line="240" w:lineRule="auto"/>
        <w:contextualSpacing/>
        <w:jc w:val="both"/>
        <w:rPr>
          <w:rFonts w:eastAsiaTheme="minorEastAsia" w:cs="Times"/>
          <w:position w:val="2"/>
          <w:lang w:val="es-ES_tradnl" w:eastAsia="sv-SE"/>
        </w:rPr>
      </w:pPr>
    </w:p>
    <w:p w:rsidR="00EC7BE7" w:rsidRPr="00B42A69" w:rsidRDefault="00EC7BE7" w:rsidP="00A20775">
      <w:pPr>
        <w:spacing w:line="240" w:lineRule="auto"/>
        <w:contextualSpacing/>
        <w:jc w:val="both"/>
        <w:rPr>
          <w:rFonts w:eastAsia="Cambria" w:cstheme="minorHAnsi"/>
          <w:lang w:val="es-ES_tradnl"/>
        </w:rPr>
      </w:pPr>
      <w:r w:rsidRPr="00A20775">
        <w:rPr>
          <w:rFonts w:ascii="Arial" w:eastAsia="Cambria" w:hAnsi="Arial" w:cs="Arial"/>
          <w:b/>
          <w:color w:val="000000" w:themeColor="text1"/>
          <w:lang w:val="es-ES_tradnl"/>
        </w:rPr>
        <w:t>Resultados:</w:t>
      </w:r>
      <w:r>
        <w:rPr>
          <w:rFonts w:eastAsiaTheme="minorEastAsia" w:cs="Times"/>
          <w:position w:val="2"/>
          <w:lang w:val="es-ES_tradnl" w:eastAsia="sv-SE"/>
        </w:rPr>
        <w:t xml:space="preserve"> La población era pobre, con 22% (64/297) de los hogares viviendo con menos </w:t>
      </w:r>
      <w:r w:rsidRPr="00B42A69">
        <w:rPr>
          <w:rFonts w:eastAsiaTheme="minorEastAsia" w:cs="Times"/>
          <w:position w:val="2"/>
          <w:lang w:val="es-ES_tradnl" w:eastAsia="sv-SE"/>
        </w:rPr>
        <w:t xml:space="preserve">de </w:t>
      </w:r>
      <w:r w:rsidRPr="00B42A69">
        <w:rPr>
          <w:rFonts w:eastAsia="Cambria" w:cstheme="minorHAnsi"/>
          <w:lang w:val="es-ES_tradnl"/>
        </w:rPr>
        <w:t>$1</w:t>
      </w:r>
      <w:r>
        <w:rPr>
          <w:rFonts w:eastAsia="Cambria" w:cstheme="minorHAnsi"/>
          <w:lang w:val="es-ES_tradnl"/>
        </w:rPr>
        <w:t xml:space="preserve"> por persona al día. Para personas que viven con TB, préstamos grupales fueron difíciles de implementar y fueron gradualmente remplazados por </w:t>
      </w:r>
      <w:r w:rsidR="00A20775">
        <w:rPr>
          <w:rFonts w:eastAsia="Cambria" w:cstheme="minorHAnsi"/>
          <w:lang w:val="es-ES_tradnl"/>
        </w:rPr>
        <w:t>préstamos</w:t>
      </w:r>
      <w:r>
        <w:rPr>
          <w:rFonts w:eastAsia="Cambria" w:cstheme="minorHAnsi"/>
          <w:lang w:val="es-ES_tradnl"/>
        </w:rPr>
        <w:t xml:space="preserve"> individuales. 21% (62/297) de los hogares afectados por TB pidieron 117 préstamos. Al parecer, el acceso a estos préstamos fue equitativo debido a que los hogares que prestaron tendían a tener menos ingreso, gasto y educación y más hacinamiento que hogares que no prestaron. Otros 27 hogares que no fueron afectados por TB pidieron 34 préstamos. De estos 151 préstamos, 36% (55) fueron suspendidos. Factores asociados con la suspensión de pagos están mostradas en la Figura: el prestatario es hombre (RR=2.0, p&lt;0.02), vivir en un hogar afectad por TB (RR=1.4, p&lt;0.001), mayor tamaño del préstamo (p&lt;0.001). Las proporciones de suspensión de pagos no eran asociadas con escolaridad completa, ingreso, gasto, hacinamiento o multiplicidad de préstamo (todos p&lt;0.1). De los $83,035 prestados ($67,326 de capital prestado más $15,710 de intereses y cobros previstos), 49% ($40,730) fueron suspendidos, incluyendo $23,656 de cobranzas por pagos atrasados. El proyecto ISEAT facilito la cancelación de deuda. </w:t>
      </w:r>
    </w:p>
    <w:p w:rsidR="00A20775" w:rsidRDefault="00A20775" w:rsidP="00A20775">
      <w:pPr>
        <w:jc w:val="both"/>
        <w:rPr>
          <w:rFonts w:ascii="Arial" w:eastAsia="Cambria" w:hAnsi="Arial" w:cs="Arial"/>
          <w:b/>
          <w:color w:val="000000" w:themeColor="text1"/>
          <w:lang w:val="es-ES_tradnl"/>
        </w:rPr>
      </w:pPr>
    </w:p>
    <w:p w:rsidR="00EC7BE7" w:rsidRPr="00C96528" w:rsidRDefault="00EC7BE7" w:rsidP="00A20775">
      <w:pPr>
        <w:jc w:val="both"/>
        <w:rPr>
          <w:lang w:val="es-ES_tradnl"/>
        </w:rPr>
      </w:pPr>
      <w:r w:rsidRPr="00A20775">
        <w:rPr>
          <w:rFonts w:ascii="Arial" w:eastAsia="Cambria" w:hAnsi="Arial" w:cs="Arial"/>
          <w:b/>
          <w:color w:val="000000" w:themeColor="text1"/>
          <w:lang w:val="es-ES_tradnl"/>
        </w:rPr>
        <w:t>Conclusiones:</w:t>
      </w:r>
      <w:r w:rsidRPr="00C96528">
        <w:rPr>
          <w:lang w:val="es-ES_tradnl"/>
        </w:rPr>
        <w:t xml:space="preserve"> Préstamos de microcréditos fueron accedidos </w:t>
      </w:r>
      <w:r>
        <w:rPr>
          <w:lang w:val="es-ES_tradnl"/>
        </w:rPr>
        <w:t xml:space="preserve">equitativamente por hogares afectados por TB. No obstante, microcréditos fueron difíciles de adaptar para ayudar personas empobrecidas que viven con TB. El estigma impidió la efectuación de préstamos grupales de la metodología crediticia banco comunal que requiere </w:t>
      </w:r>
      <w:bookmarkStart w:id="1" w:name="_GoBack"/>
      <w:bookmarkEnd w:id="1"/>
      <w:r w:rsidR="00A20775">
        <w:rPr>
          <w:lang w:val="es-ES_tradnl"/>
        </w:rPr>
        <w:t>préstamos</w:t>
      </w:r>
      <w:r>
        <w:rPr>
          <w:lang w:val="es-ES_tradnl"/>
        </w:rPr>
        <w:t xml:space="preserve"> individuales. 41% de los hogares afectados por TB fueron endeudados por los préstamos.  Este resultado sugiere que hogares afectados por TB deben ser ofrecidos préstamos de microcrédito únicamente con precaución, selección cuidadosa y apoyo. La proporción de préstamos exitosos puede mejorarse dirigiéndose a grupos demográficos incluyendo mujeres y proporcionando préstamos de menor tamaño.  </w:t>
      </w:r>
    </w:p>
    <w:p w:rsidR="00EC7BE7" w:rsidRPr="000C51CA" w:rsidRDefault="00EC7BE7" w:rsidP="00EC7BE7">
      <w:pPr>
        <w:jc w:val="both"/>
        <w:rPr>
          <w:lang w:val="en-GB"/>
        </w:rPr>
      </w:pPr>
      <w:r w:rsidRPr="000C51CA">
        <w:rPr>
          <w:noProof/>
          <w:lang w:eastAsia="es-PE"/>
        </w:rPr>
        <w:lastRenderedPageBreak/>
        <w:drawing>
          <wp:inline distT="0" distB="0" distL="0" distR="0" wp14:anchorId="6B269184" wp14:editId="41A9534A">
            <wp:extent cx="5761355" cy="4962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962525"/>
                    </a:xfrm>
                    <a:prstGeom prst="rect">
                      <a:avLst/>
                    </a:prstGeom>
                    <a:noFill/>
                  </pic:spPr>
                </pic:pic>
              </a:graphicData>
            </a:graphic>
          </wp:inline>
        </w:drawing>
      </w:r>
    </w:p>
    <w:p w:rsidR="00EC7BE7" w:rsidRPr="000C51CA" w:rsidRDefault="00EC7BE7" w:rsidP="00EC7BE7">
      <w:pPr>
        <w:widowControl w:val="0"/>
        <w:autoSpaceDE w:val="0"/>
        <w:autoSpaceDN w:val="0"/>
        <w:adjustRightInd w:val="0"/>
        <w:spacing w:after="0" w:line="240" w:lineRule="auto"/>
        <w:rPr>
          <w:rFonts w:ascii="Calibri" w:hAnsi="Calibri" w:cs="Calibri"/>
          <w:lang w:val="en-GB"/>
        </w:rPr>
      </w:pPr>
      <w:r w:rsidRPr="000C51CA">
        <w:rPr>
          <w:rFonts w:ascii="Calibri" w:hAnsi="Calibri" w:cs="Calibri"/>
          <w:lang w:val="en-GB"/>
        </w:rPr>
        <w:t> </w:t>
      </w:r>
    </w:p>
    <w:tbl>
      <w:tblPr>
        <w:tblW w:w="5000" w:type="pct"/>
        <w:tblBorders>
          <w:top w:val="nil"/>
          <w:left w:val="nil"/>
          <w:right w:val="nil"/>
        </w:tblBorders>
        <w:tblLook w:val="0000" w:firstRow="0" w:lastRow="0" w:firstColumn="0" w:lastColumn="0" w:noHBand="0" w:noVBand="0"/>
      </w:tblPr>
      <w:tblGrid>
        <w:gridCol w:w="2699"/>
        <w:gridCol w:w="6543"/>
      </w:tblGrid>
      <w:tr w:rsidR="00EC7BE7" w:rsidRPr="000C51CA" w:rsidTr="00C53112">
        <w:tc>
          <w:tcPr>
            <w:tcW w:w="1460" w:type="pct"/>
            <w:tcBorders>
              <w:top w:val="single" w:sz="8" w:space="0" w:color="000000"/>
              <w:left w:val="single" w:sz="8" w:space="0" w:color="000000"/>
              <w:bottom w:val="single" w:sz="8" w:space="0" w:color="000000"/>
              <w:right w:val="single" w:sz="8" w:space="0" w:color="000000"/>
            </w:tcBorders>
            <w:tcMar>
              <w:top w:w="140" w:type="nil"/>
              <w:right w:w="140" w:type="nil"/>
            </w:tcMar>
          </w:tcPr>
          <w:p w:rsidR="00EC7BE7" w:rsidRPr="000C51CA" w:rsidRDefault="00EC7BE7" w:rsidP="00C53112">
            <w:pPr>
              <w:widowControl w:val="0"/>
              <w:autoSpaceDE w:val="0"/>
              <w:autoSpaceDN w:val="0"/>
              <w:adjustRightInd w:val="0"/>
              <w:spacing w:after="0" w:line="240" w:lineRule="auto"/>
              <w:rPr>
                <w:rFonts w:ascii="Calibri" w:hAnsi="Calibri" w:cs="Calibri"/>
                <w:lang w:val="en-GB"/>
              </w:rPr>
            </w:pPr>
            <w:r w:rsidRPr="000C51CA">
              <w:rPr>
                <w:rFonts w:ascii="Calibri" w:hAnsi="Calibri" w:cs="Calibri"/>
                <w:b/>
                <w:bCs/>
                <w:color w:val="0000FF"/>
                <w:lang w:val="en-GB"/>
              </w:rPr>
              <w:t>Reference of your abstract and your poster board</w:t>
            </w:r>
          </w:p>
        </w:tc>
        <w:tc>
          <w:tcPr>
            <w:tcW w:w="3540" w:type="pct"/>
            <w:tcBorders>
              <w:top w:val="single" w:sz="8" w:space="0" w:color="000000"/>
              <w:bottom w:val="single" w:sz="8" w:space="0" w:color="000000"/>
              <w:right w:val="single" w:sz="8" w:space="0" w:color="000000"/>
            </w:tcBorders>
          </w:tcPr>
          <w:p w:rsidR="00EC7BE7" w:rsidRPr="000C51CA" w:rsidRDefault="00EC7BE7" w:rsidP="00C53112">
            <w:pPr>
              <w:widowControl w:val="0"/>
              <w:autoSpaceDE w:val="0"/>
              <w:autoSpaceDN w:val="0"/>
              <w:adjustRightInd w:val="0"/>
              <w:spacing w:after="0" w:line="240" w:lineRule="auto"/>
              <w:rPr>
                <w:rFonts w:ascii="Calibri" w:hAnsi="Calibri" w:cs="Calibri"/>
                <w:lang w:val="en-GB"/>
              </w:rPr>
            </w:pPr>
            <w:r w:rsidRPr="000C51CA">
              <w:rPr>
                <w:rFonts w:ascii="Calibri" w:hAnsi="Calibri" w:cs="Calibri"/>
                <w:color w:val="0000FF"/>
                <w:lang w:val="en-GB"/>
              </w:rPr>
              <w:t>PC-872-03</w:t>
            </w:r>
          </w:p>
        </w:tc>
      </w:tr>
      <w:tr w:rsidR="00EC7BE7" w:rsidRPr="00A20775"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EC7BE7" w:rsidRPr="000C51CA" w:rsidRDefault="00EC7BE7" w:rsidP="00C53112">
            <w:pPr>
              <w:widowControl w:val="0"/>
              <w:autoSpaceDE w:val="0"/>
              <w:autoSpaceDN w:val="0"/>
              <w:adjustRightInd w:val="0"/>
              <w:spacing w:after="0" w:line="240" w:lineRule="auto"/>
              <w:rPr>
                <w:rFonts w:ascii="Calibri" w:hAnsi="Calibri" w:cs="Calibri"/>
                <w:lang w:val="en-GB"/>
              </w:rPr>
            </w:pPr>
            <w:r w:rsidRPr="000C51CA">
              <w:rPr>
                <w:rFonts w:ascii="Calibri" w:hAnsi="Calibri" w:cs="Calibri"/>
                <w:b/>
                <w:bCs/>
                <w:color w:val="0000FF"/>
                <w:lang w:val="en-GB"/>
              </w:rPr>
              <w:t>Title of your abstract</w:t>
            </w:r>
          </w:p>
        </w:tc>
        <w:tc>
          <w:tcPr>
            <w:tcW w:w="3540" w:type="pct"/>
            <w:tcBorders>
              <w:bottom w:val="single" w:sz="8" w:space="0" w:color="000000"/>
              <w:right w:val="single" w:sz="8" w:space="0" w:color="000000"/>
            </w:tcBorders>
          </w:tcPr>
          <w:p w:rsidR="00EC7BE7" w:rsidRPr="000C51CA" w:rsidRDefault="00EC7BE7" w:rsidP="00C53112">
            <w:pPr>
              <w:widowControl w:val="0"/>
              <w:autoSpaceDE w:val="0"/>
              <w:autoSpaceDN w:val="0"/>
              <w:adjustRightInd w:val="0"/>
              <w:spacing w:after="0" w:line="240" w:lineRule="auto"/>
              <w:rPr>
                <w:rFonts w:ascii="Calibri" w:hAnsi="Calibri" w:cs="Calibri"/>
                <w:lang w:val="en-GB"/>
              </w:rPr>
            </w:pPr>
            <w:r w:rsidRPr="000C51CA">
              <w:rPr>
                <w:rFonts w:ascii="Calibri" w:hAnsi="Calibri" w:cs="Calibri"/>
                <w:color w:val="0000FF"/>
                <w:lang w:val="en-GB"/>
              </w:rPr>
              <w:t>Microcredit loan results within the ISIAT project adapting social protection to people living with TB</w:t>
            </w:r>
          </w:p>
        </w:tc>
      </w:tr>
      <w:tr w:rsidR="00EC7BE7" w:rsidRPr="000C51CA"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EC7BE7" w:rsidRPr="000C51CA" w:rsidRDefault="00EC7BE7" w:rsidP="00C53112">
            <w:pPr>
              <w:widowControl w:val="0"/>
              <w:autoSpaceDE w:val="0"/>
              <w:autoSpaceDN w:val="0"/>
              <w:adjustRightInd w:val="0"/>
              <w:spacing w:after="0" w:line="240" w:lineRule="auto"/>
              <w:rPr>
                <w:rFonts w:ascii="Calibri" w:hAnsi="Calibri" w:cs="Calibri"/>
                <w:lang w:val="en-GB"/>
              </w:rPr>
            </w:pPr>
            <w:r w:rsidRPr="000C51CA">
              <w:rPr>
                <w:rFonts w:ascii="Calibri" w:hAnsi="Calibri" w:cs="Calibri"/>
                <w:b/>
                <w:bCs/>
                <w:color w:val="0000FF"/>
                <w:lang w:val="en-GB"/>
              </w:rPr>
              <w:t>Type of session</w:t>
            </w:r>
          </w:p>
        </w:tc>
        <w:tc>
          <w:tcPr>
            <w:tcW w:w="3540" w:type="pct"/>
            <w:tcBorders>
              <w:bottom w:val="single" w:sz="8" w:space="0" w:color="000000"/>
              <w:right w:val="single" w:sz="8" w:space="0" w:color="000000"/>
            </w:tcBorders>
          </w:tcPr>
          <w:p w:rsidR="00EC7BE7" w:rsidRPr="000C51CA" w:rsidRDefault="00EC7BE7" w:rsidP="00C53112">
            <w:pPr>
              <w:widowControl w:val="0"/>
              <w:autoSpaceDE w:val="0"/>
              <w:autoSpaceDN w:val="0"/>
              <w:adjustRightInd w:val="0"/>
              <w:spacing w:after="0" w:line="240" w:lineRule="auto"/>
              <w:rPr>
                <w:rFonts w:ascii="Calibri" w:hAnsi="Calibri" w:cs="Calibri"/>
                <w:lang w:val="en-GB"/>
              </w:rPr>
            </w:pPr>
            <w:r w:rsidRPr="000C51CA">
              <w:rPr>
                <w:rFonts w:ascii="Calibri" w:hAnsi="Calibri" w:cs="Calibri"/>
                <w:color w:val="0000FF"/>
                <w:lang w:val="en-GB"/>
              </w:rPr>
              <w:t>Poster Discussion session</w:t>
            </w:r>
          </w:p>
        </w:tc>
      </w:tr>
      <w:tr w:rsidR="00EC7BE7" w:rsidRPr="00A20775" w:rsidTr="00C53112">
        <w:tblPrEx>
          <w:tblBorders>
            <w:top w:val="none" w:sz="0" w:space="0" w:color="auto"/>
          </w:tblBorders>
        </w:tblPrEx>
        <w:tc>
          <w:tcPr>
            <w:tcW w:w="1460" w:type="pct"/>
            <w:tcBorders>
              <w:left w:val="single" w:sz="8" w:space="0" w:color="000000"/>
              <w:bottom w:val="single" w:sz="8" w:space="0" w:color="000000"/>
              <w:right w:val="single" w:sz="8" w:space="0" w:color="000000"/>
            </w:tcBorders>
            <w:tcMar>
              <w:top w:w="140" w:type="nil"/>
              <w:right w:w="140" w:type="nil"/>
            </w:tcMar>
          </w:tcPr>
          <w:p w:rsidR="00EC7BE7" w:rsidRPr="000C51CA" w:rsidRDefault="00EC7BE7" w:rsidP="00C53112">
            <w:pPr>
              <w:widowControl w:val="0"/>
              <w:autoSpaceDE w:val="0"/>
              <w:autoSpaceDN w:val="0"/>
              <w:adjustRightInd w:val="0"/>
              <w:spacing w:after="0" w:line="240" w:lineRule="auto"/>
              <w:rPr>
                <w:rFonts w:ascii="Calibri" w:hAnsi="Calibri" w:cs="Calibri"/>
                <w:lang w:val="en-GB"/>
              </w:rPr>
            </w:pPr>
            <w:r w:rsidRPr="000C51CA">
              <w:rPr>
                <w:rFonts w:ascii="Calibri" w:hAnsi="Calibri" w:cs="Calibri"/>
                <w:b/>
                <w:bCs/>
                <w:color w:val="0000FF"/>
                <w:lang w:val="en-GB"/>
              </w:rPr>
              <w:t>Title of session</w:t>
            </w:r>
          </w:p>
        </w:tc>
        <w:tc>
          <w:tcPr>
            <w:tcW w:w="3540" w:type="pct"/>
            <w:tcBorders>
              <w:bottom w:val="single" w:sz="8" w:space="0" w:color="000000"/>
              <w:right w:val="single" w:sz="8" w:space="0" w:color="000000"/>
            </w:tcBorders>
          </w:tcPr>
          <w:p w:rsidR="00EC7BE7" w:rsidRPr="000C51CA" w:rsidRDefault="00EC7BE7" w:rsidP="00C53112">
            <w:pPr>
              <w:widowControl w:val="0"/>
              <w:autoSpaceDE w:val="0"/>
              <w:autoSpaceDN w:val="0"/>
              <w:adjustRightInd w:val="0"/>
              <w:spacing w:after="0" w:line="240" w:lineRule="auto"/>
              <w:rPr>
                <w:rFonts w:ascii="Calibri" w:hAnsi="Calibri" w:cs="Calibri"/>
                <w:lang w:val="en-GB"/>
              </w:rPr>
            </w:pPr>
            <w:r w:rsidRPr="000C51CA">
              <w:rPr>
                <w:rFonts w:ascii="Calibri" w:hAnsi="Calibri" w:cs="Calibri"/>
                <w:color w:val="0000FF"/>
                <w:lang w:val="en-GB"/>
              </w:rPr>
              <w:t>52. Community issues in TB control</w:t>
            </w:r>
          </w:p>
        </w:tc>
      </w:tr>
      <w:tr w:rsidR="00EC7BE7" w:rsidRPr="000C51CA" w:rsidTr="00C53112">
        <w:tc>
          <w:tcPr>
            <w:tcW w:w="1460" w:type="pct"/>
            <w:tcBorders>
              <w:left w:val="single" w:sz="8" w:space="0" w:color="000000"/>
              <w:bottom w:val="single" w:sz="8" w:space="0" w:color="000000"/>
              <w:right w:val="single" w:sz="8" w:space="0" w:color="000000"/>
            </w:tcBorders>
            <w:tcMar>
              <w:top w:w="140" w:type="nil"/>
              <w:right w:w="140" w:type="nil"/>
            </w:tcMar>
          </w:tcPr>
          <w:p w:rsidR="00EC7BE7" w:rsidRPr="000C51CA" w:rsidRDefault="00EC7BE7" w:rsidP="00C53112">
            <w:pPr>
              <w:widowControl w:val="0"/>
              <w:autoSpaceDE w:val="0"/>
              <w:autoSpaceDN w:val="0"/>
              <w:adjustRightInd w:val="0"/>
              <w:spacing w:after="0" w:line="240" w:lineRule="auto"/>
              <w:rPr>
                <w:rFonts w:ascii="Calibri" w:hAnsi="Calibri" w:cs="Calibri"/>
                <w:lang w:val="en-GB"/>
              </w:rPr>
            </w:pPr>
            <w:r w:rsidRPr="000C51CA">
              <w:rPr>
                <w:rFonts w:ascii="Calibri" w:hAnsi="Calibri" w:cs="Calibri"/>
                <w:b/>
                <w:bCs/>
                <w:color w:val="0000FF"/>
                <w:lang w:val="en-GB"/>
              </w:rPr>
              <w:t>Date, time and place</w:t>
            </w:r>
          </w:p>
        </w:tc>
        <w:tc>
          <w:tcPr>
            <w:tcW w:w="3540" w:type="pct"/>
            <w:tcBorders>
              <w:bottom w:val="single" w:sz="8" w:space="0" w:color="000000"/>
              <w:right w:val="single" w:sz="8" w:space="0" w:color="000000"/>
            </w:tcBorders>
          </w:tcPr>
          <w:p w:rsidR="00EC7BE7" w:rsidRPr="000C51CA" w:rsidRDefault="00EC7BE7" w:rsidP="00C53112">
            <w:pPr>
              <w:widowControl w:val="0"/>
              <w:autoSpaceDE w:val="0"/>
              <w:autoSpaceDN w:val="0"/>
              <w:adjustRightInd w:val="0"/>
              <w:spacing w:after="0" w:line="240" w:lineRule="auto"/>
              <w:jc w:val="both"/>
              <w:rPr>
                <w:rFonts w:ascii="Calibri" w:hAnsi="Calibri" w:cs="Calibri"/>
                <w:lang w:val="en-GB"/>
              </w:rPr>
            </w:pPr>
            <w:r w:rsidRPr="000C51CA">
              <w:rPr>
                <w:rFonts w:ascii="Calibri" w:hAnsi="Calibri" w:cs="Calibri"/>
                <w:color w:val="0000FF"/>
                <w:lang w:val="en-GB"/>
              </w:rPr>
              <w:t>Sunday, 3 November 2013 from 12:45 to 13:45</w:t>
            </w:r>
          </w:p>
        </w:tc>
      </w:tr>
    </w:tbl>
    <w:p w:rsidR="00EC7BE7" w:rsidRPr="000C51CA" w:rsidRDefault="00EC7BE7" w:rsidP="00EC7BE7">
      <w:pPr>
        <w:rPr>
          <w:lang w:val="en-GB"/>
        </w:rPr>
      </w:pPr>
      <w:r w:rsidRPr="000C51CA">
        <w:rPr>
          <w:rFonts w:ascii="Calibri" w:hAnsi="Calibri" w:cs="Calibri"/>
          <w:lang w:val="en-GB"/>
        </w:rPr>
        <w:t> </w:t>
      </w:r>
    </w:p>
    <w:p w:rsidR="002B3F30" w:rsidRDefault="002B3F30"/>
    <w:sectPr w:rsidR="002B3F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A6" w:rsidRDefault="00FB75A6" w:rsidP="00EC7BE7">
      <w:pPr>
        <w:spacing w:after="0" w:line="240" w:lineRule="auto"/>
      </w:pPr>
      <w:r>
        <w:separator/>
      </w:r>
    </w:p>
  </w:endnote>
  <w:endnote w:type="continuationSeparator" w:id="0">
    <w:p w:rsidR="00FB75A6" w:rsidRDefault="00FB75A6" w:rsidP="00EC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44394"/>
      <w:docPartObj>
        <w:docPartGallery w:val="Page Numbers (Bottom of Page)"/>
        <w:docPartUnique/>
      </w:docPartObj>
    </w:sdtPr>
    <w:sdtEndPr>
      <w:rPr>
        <w:noProof/>
      </w:rPr>
    </w:sdtEndPr>
    <w:sdtContent>
      <w:p w:rsidR="00EC7BE7" w:rsidRDefault="00EC7BE7">
        <w:pPr>
          <w:pStyle w:val="Piedepgina"/>
          <w:jc w:val="right"/>
        </w:pPr>
        <w:r>
          <w:fldChar w:fldCharType="begin"/>
        </w:r>
        <w:r>
          <w:instrText xml:space="preserve"> PAGE   \* MERGEFORMAT </w:instrText>
        </w:r>
        <w:r>
          <w:fldChar w:fldCharType="separate"/>
        </w:r>
        <w:r w:rsidR="00A20775">
          <w:rPr>
            <w:noProof/>
          </w:rPr>
          <w:t>2</w:t>
        </w:r>
        <w:r>
          <w:rPr>
            <w:noProof/>
          </w:rPr>
          <w:fldChar w:fldCharType="end"/>
        </w:r>
      </w:p>
    </w:sdtContent>
  </w:sdt>
  <w:p w:rsidR="00EC7BE7" w:rsidRDefault="00EC7B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A6" w:rsidRDefault="00FB75A6" w:rsidP="00EC7BE7">
      <w:pPr>
        <w:spacing w:after="0" w:line="240" w:lineRule="auto"/>
      </w:pPr>
      <w:r>
        <w:separator/>
      </w:r>
    </w:p>
  </w:footnote>
  <w:footnote w:type="continuationSeparator" w:id="0">
    <w:p w:rsidR="00FB75A6" w:rsidRDefault="00FB75A6" w:rsidP="00EC7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109"/>
    <w:multiLevelType w:val="hybridMultilevel"/>
    <w:tmpl w:val="CB90FF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E7"/>
    <w:rsid w:val="002B3F30"/>
    <w:rsid w:val="00A20775"/>
    <w:rsid w:val="00E3274D"/>
    <w:rsid w:val="00EC7BE7"/>
    <w:rsid w:val="00FB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E7"/>
    <w:pPr>
      <w:spacing w:after="200" w:line="276" w:lineRule="auto"/>
    </w:pPr>
    <w:rPr>
      <w:lang w:val="es-PE"/>
    </w:rPr>
  </w:style>
  <w:style w:type="paragraph" w:styleId="Ttulo1">
    <w:name w:val="heading 1"/>
    <w:basedOn w:val="Normal"/>
    <w:next w:val="Normal"/>
    <w:link w:val="Ttulo1Car"/>
    <w:uiPriority w:val="9"/>
    <w:qFormat/>
    <w:rsid w:val="00EC7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7BE7"/>
    <w:rPr>
      <w:rFonts w:asciiTheme="majorHAnsi" w:eastAsiaTheme="majorEastAsia" w:hAnsiTheme="majorHAnsi" w:cstheme="majorBidi"/>
      <w:color w:val="2E74B5" w:themeColor="accent1" w:themeShade="BF"/>
      <w:sz w:val="32"/>
      <w:szCs w:val="32"/>
      <w:lang w:val="es-PE"/>
    </w:rPr>
  </w:style>
  <w:style w:type="paragraph" w:styleId="Encabezado">
    <w:name w:val="header"/>
    <w:basedOn w:val="Normal"/>
    <w:link w:val="EncabezadoCar"/>
    <w:uiPriority w:val="99"/>
    <w:unhideWhenUsed/>
    <w:rsid w:val="00EC7B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C7BE7"/>
    <w:rPr>
      <w:lang w:val="es-PE"/>
    </w:rPr>
  </w:style>
  <w:style w:type="paragraph" w:styleId="Piedepgina">
    <w:name w:val="footer"/>
    <w:basedOn w:val="Normal"/>
    <w:link w:val="PiedepginaCar"/>
    <w:uiPriority w:val="99"/>
    <w:unhideWhenUsed/>
    <w:rsid w:val="00EC7B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C7BE7"/>
    <w:rPr>
      <w:lang w:val="es-PE"/>
    </w:rPr>
  </w:style>
  <w:style w:type="paragraph" w:styleId="Textodeglobo">
    <w:name w:val="Balloon Text"/>
    <w:basedOn w:val="Normal"/>
    <w:link w:val="TextodegloboCar"/>
    <w:uiPriority w:val="99"/>
    <w:semiHidden/>
    <w:unhideWhenUsed/>
    <w:rsid w:val="00A207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775"/>
    <w:rPr>
      <w:rFonts w:ascii="Tahoma" w:hAnsi="Tahoma" w:cs="Tahoma"/>
      <w:sz w:val="16"/>
      <w:szCs w:val="16"/>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E7"/>
    <w:pPr>
      <w:spacing w:after="200" w:line="276" w:lineRule="auto"/>
    </w:pPr>
    <w:rPr>
      <w:lang w:val="es-PE"/>
    </w:rPr>
  </w:style>
  <w:style w:type="paragraph" w:styleId="Ttulo1">
    <w:name w:val="heading 1"/>
    <w:basedOn w:val="Normal"/>
    <w:next w:val="Normal"/>
    <w:link w:val="Ttulo1Car"/>
    <w:uiPriority w:val="9"/>
    <w:qFormat/>
    <w:rsid w:val="00EC7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7BE7"/>
    <w:rPr>
      <w:rFonts w:asciiTheme="majorHAnsi" w:eastAsiaTheme="majorEastAsia" w:hAnsiTheme="majorHAnsi" w:cstheme="majorBidi"/>
      <w:color w:val="2E74B5" w:themeColor="accent1" w:themeShade="BF"/>
      <w:sz w:val="32"/>
      <w:szCs w:val="32"/>
      <w:lang w:val="es-PE"/>
    </w:rPr>
  </w:style>
  <w:style w:type="paragraph" w:styleId="Encabezado">
    <w:name w:val="header"/>
    <w:basedOn w:val="Normal"/>
    <w:link w:val="EncabezadoCar"/>
    <w:uiPriority w:val="99"/>
    <w:unhideWhenUsed/>
    <w:rsid w:val="00EC7B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C7BE7"/>
    <w:rPr>
      <w:lang w:val="es-PE"/>
    </w:rPr>
  </w:style>
  <w:style w:type="paragraph" w:styleId="Piedepgina">
    <w:name w:val="footer"/>
    <w:basedOn w:val="Normal"/>
    <w:link w:val="PiedepginaCar"/>
    <w:uiPriority w:val="99"/>
    <w:unhideWhenUsed/>
    <w:rsid w:val="00EC7B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C7BE7"/>
    <w:rPr>
      <w:lang w:val="es-PE"/>
    </w:rPr>
  </w:style>
  <w:style w:type="paragraph" w:styleId="Textodeglobo">
    <w:name w:val="Balloon Text"/>
    <w:basedOn w:val="Normal"/>
    <w:link w:val="TextodegloboCar"/>
    <w:uiPriority w:val="99"/>
    <w:semiHidden/>
    <w:unhideWhenUsed/>
    <w:rsid w:val="00A207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775"/>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dc:creator>
  <cp:keywords/>
  <dc:description/>
  <cp:lastModifiedBy>JONATHAN</cp:lastModifiedBy>
  <cp:revision>2</cp:revision>
  <dcterms:created xsi:type="dcterms:W3CDTF">2020-06-25T12:14:00Z</dcterms:created>
  <dcterms:modified xsi:type="dcterms:W3CDTF">2020-06-29T17:17:00Z</dcterms:modified>
</cp:coreProperties>
</file>