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CellMar>
          <w:left w:w="0" w:type="dxa"/>
          <w:right w:w="0" w:type="dxa"/>
        </w:tblCellMar>
        <w:tblLook w:val="04A0" w:firstRow="1" w:lastRow="0" w:firstColumn="1" w:lastColumn="0" w:noHBand="0" w:noVBand="1"/>
      </w:tblPr>
      <w:tblGrid>
        <w:gridCol w:w="5883"/>
        <w:gridCol w:w="2477"/>
      </w:tblGrid>
      <w:tr w:rsidR="00E455A5" w:rsidRPr="00E455A5" w:rsidTr="00E455A5">
        <w:trPr>
          <w:tblCellSpacing w:w="15" w:type="dxa"/>
        </w:trPr>
        <w:tc>
          <w:tcPr>
            <w:tcW w:w="9600" w:type="dxa"/>
            <w:shd w:val="clear" w:color="auto" w:fill="FFFFFF"/>
            <w:hideMark/>
          </w:tcPr>
          <w:p w:rsidR="00E455A5" w:rsidRPr="00E455A5" w:rsidRDefault="00E455A5" w:rsidP="00E455A5">
            <w:pPr>
              <w:spacing w:after="0" w:line="360" w:lineRule="atLeast"/>
              <w:rPr>
                <w:rFonts w:ascii="Trebuchet MS" w:eastAsia="Times New Roman" w:hAnsi="Trebuchet MS" w:cs="Times New Roman"/>
                <w:b/>
                <w:bCs/>
                <w:color w:val="0A0905"/>
                <w:sz w:val="21"/>
                <w:szCs w:val="21"/>
                <w:lang w:val="en-US" w:eastAsia="en-US"/>
              </w:rPr>
            </w:pPr>
            <w:r w:rsidRPr="00E455A5">
              <w:rPr>
                <w:rFonts w:ascii="Trebuchet MS" w:eastAsia="Times New Roman" w:hAnsi="Trebuchet MS" w:cs="Times New Roman"/>
                <w:b/>
                <w:bCs/>
                <w:color w:val="0A0905"/>
                <w:sz w:val="21"/>
                <w:szCs w:val="21"/>
                <w:lang w:val="en-US" w:eastAsia="en-US"/>
              </w:rPr>
              <w:t>254 DEPRESSION IS COMMON IN TB PATIENTS AND IS ASSOCIATED WITH TREATMENT ABANDONMENT</w:t>
            </w:r>
          </w:p>
        </w:tc>
        <w:tc>
          <w:tcPr>
            <w:tcW w:w="4560" w:type="dxa"/>
            <w:shd w:val="clear" w:color="auto" w:fill="FFFFFF"/>
            <w:tcMar>
              <w:top w:w="0" w:type="dxa"/>
              <w:left w:w="240" w:type="dxa"/>
              <w:bottom w:w="0" w:type="dxa"/>
              <w:right w:w="0" w:type="dxa"/>
            </w:tcMar>
          </w:tcPr>
          <w:p w:rsidR="00E455A5" w:rsidRPr="00E455A5" w:rsidRDefault="00E455A5" w:rsidP="00E455A5">
            <w:pPr>
              <w:spacing w:after="0" w:line="360" w:lineRule="atLeast"/>
              <w:rPr>
                <w:rFonts w:ascii="Trebuchet MS" w:eastAsia="Times New Roman" w:hAnsi="Trebuchet MS" w:cs="Times New Roman"/>
                <w:color w:val="0A0905"/>
                <w:sz w:val="18"/>
                <w:szCs w:val="18"/>
                <w:lang w:val="en-US" w:eastAsia="en-US"/>
              </w:rPr>
            </w:pPr>
            <w:bookmarkStart w:id="0" w:name="_GoBack"/>
            <w:bookmarkEnd w:id="0"/>
          </w:p>
        </w:tc>
      </w:tr>
      <w:tr w:rsidR="00E455A5" w:rsidRPr="00E455A5" w:rsidTr="00E455A5">
        <w:trPr>
          <w:tblCellSpacing w:w="15" w:type="dxa"/>
        </w:trPr>
        <w:tc>
          <w:tcPr>
            <w:tcW w:w="9600" w:type="dxa"/>
            <w:shd w:val="clear" w:color="auto" w:fill="FFFFFF"/>
            <w:hideMark/>
          </w:tcPr>
          <w:p w:rsidR="00E455A5" w:rsidRPr="00E455A5" w:rsidRDefault="00E455A5" w:rsidP="00E455A5">
            <w:pPr>
              <w:spacing w:after="0" w:line="360" w:lineRule="atLeast"/>
              <w:ind w:firstLine="480"/>
              <w:rPr>
                <w:rFonts w:ascii="Trebuchet MS" w:hAnsi="Trebuchet MS" w:cs="Times New Roman"/>
                <w:color w:val="0A0905"/>
                <w:sz w:val="18"/>
                <w:szCs w:val="18"/>
                <w:lang w:val="en-US" w:eastAsia="en-US"/>
              </w:rPr>
            </w:pPr>
            <w:bookmarkStart w:id="1" w:name="1562"/>
            <w:bookmarkEnd w:id="1"/>
            <w:r w:rsidRPr="00E455A5">
              <w:rPr>
                <w:rFonts w:ascii="Trebuchet MS" w:hAnsi="Trebuchet MS" w:cs="Times New Roman"/>
                <w:color w:val="0A0905"/>
                <w:sz w:val="18"/>
                <w:szCs w:val="18"/>
                <w:lang w:val="en-US" w:eastAsia="en-US"/>
              </w:rPr>
              <w:t>Karlin DM</w:t>
            </w:r>
            <w:r w:rsidRPr="00E455A5">
              <w:rPr>
                <w:rFonts w:ascii="Trebuchet MS" w:hAnsi="Trebuchet MS" w:cs="Times New Roman"/>
                <w:color w:val="0A0905"/>
                <w:sz w:val="18"/>
                <w:szCs w:val="18"/>
                <w:vertAlign w:val="superscript"/>
                <w:lang w:val="en-US" w:eastAsia="en-US"/>
              </w:rPr>
              <w:t>1</w:t>
            </w:r>
            <w:proofErr w:type="gramStart"/>
            <w:r w:rsidRPr="00E455A5">
              <w:rPr>
                <w:rFonts w:ascii="Trebuchet MS" w:hAnsi="Trebuchet MS" w:cs="Times New Roman"/>
                <w:color w:val="0A0905"/>
                <w:sz w:val="18"/>
                <w:szCs w:val="18"/>
                <w:vertAlign w:val="superscript"/>
                <w:lang w:val="en-US" w:eastAsia="en-US"/>
              </w:rPr>
              <w:t>,3,4</w:t>
            </w:r>
            <w:proofErr w:type="gramEnd"/>
            <w:r w:rsidRPr="00E455A5">
              <w:rPr>
                <w:rFonts w:ascii="Trebuchet MS" w:hAnsi="Trebuchet MS" w:cs="Times New Roman"/>
                <w:color w:val="0A0905"/>
                <w:sz w:val="18"/>
                <w:szCs w:val="18"/>
                <w:lang w:val="en-US" w:eastAsia="en-US"/>
              </w:rPr>
              <w:t>, Evans C</w:t>
            </w:r>
            <w:r w:rsidRPr="00E455A5">
              <w:rPr>
                <w:rFonts w:ascii="Trebuchet MS" w:hAnsi="Trebuchet MS" w:cs="Times New Roman"/>
                <w:color w:val="0A0905"/>
                <w:sz w:val="18"/>
                <w:szCs w:val="18"/>
                <w:vertAlign w:val="superscript"/>
                <w:lang w:val="en-US" w:eastAsia="en-US"/>
              </w:rPr>
              <w:t>2,3,4</w:t>
            </w:r>
            <w:r w:rsidRPr="00E455A5">
              <w:rPr>
                <w:rFonts w:ascii="Trebuchet MS" w:hAnsi="Trebuchet MS" w:cs="Times New Roman"/>
                <w:color w:val="0A0905"/>
                <w:sz w:val="18"/>
                <w:szCs w:val="18"/>
                <w:lang w:val="en-US" w:eastAsia="en-US"/>
              </w:rPr>
              <w:t>, Loiselle C</w:t>
            </w:r>
            <w:r w:rsidRPr="00E455A5">
              <w:rPr>
                <w:rFonts w:ascii="Trebuchet MS" w:hAnsi="Trebuchet MS" w:cs="Times New Roman"/>
                <w:color w:val="0A0905"/>
                <w:sz w:val="18"/>
                <w:szCs w:val="18"/>
                <w:vertAlign w:val="superscript"/>
                <w:lang w:val="en-US" w:eastAsia="en-US"/>
              </w:rPr>
              <w:t>3,4</w:t>
            </w:r>
            <w:r w:rsidRPr="00E455A5">
              <w:rPr>
                <w:rFonts w:ascii="Trebuchet MS" w:hAnsi="Trebuchet MS" w:cs="Times New Roman"/>
                <w:color w:val="0A0905"/>
                <w:sz w:val="18"/>
                <w:szCs w:val="18"/>
                <w:lang w:val="en-US" w:eastAsia="en-US"/>
              </w:rPr>
              <w:t>, Zevallos K</w:t>
            </w:r>
            <w:r w:rsidRPr="00E455A5">
              <w:rPr>
                <w:rFonts w:ascii="Trebuchet MS" w:hAnsi="Trebuchet MS" w:cs="Times New Roman"/>
                <w:color w:val="0A0905"/>
                <w:sz w:val="18"/>
                <w:szCs w:val="18"/>
                <w:vertAlign w:val="superscript"/>
                <w:lang w:val="en-US" w:eastAsia="en-US"/>
              </w:rPr>
              <w:t>3,5</w:t>
            </w:r>
            <w:r w:rsidRPr="00E455A5">
              <w:rPr>
                <w:rFonts w:ascii="Trebuchet MS" w:hAnsi="Trebuchet MS" w:cs="Times New Roman"/>
                <w:color w:val="0A0905"/>
                <w:sz w:val="18"/>
                <w:szCs w:val="18"/>
                <w:lang w:val="en-US" w:eastAsia="en-US"/>
              </w:rPr>
              <w:t>, Fernandez F</w:t>
            </w:r>
            <w:r w:rsidRPr="00E455A5">
              <w:rPr>
                <w:rFonts w:ascii="Trebuchet MS" w:hAnsi="Trebuchet MS" w:cs="Times New Roman"/>
                <w:color w:val="0A0905"/>
                <w:sz w:val="18"/>
                <w:szCs w:val="18"/>
                <w:vertAlign w:val="superscript"/>
                <w:lang w:val="en-US" w:eastAsia="en-US"/>
              </w:rPr>
              <w:t>3,4</w:t>
            </w:r>
            <w:r w:rsidRPr="00E455A5">
              <w:rPr>
                <w:rFonts w:ascii="Trebuchet MS" w:hAnsi="Trebuchet MS" w:cs="Times New Roman"/>
                <w:color w:val="0A0905"/>
                <w:sz w:val="18"/>
                <w:szCs w:val="18"/>
                <w:lang w:val="en-US" w:eastAsia="en-US"/>
              </w:rPr>
              <w:t>, Allen N</w:t>
            </w:r>
            <w:r w:rsidRPr="00E455A5">
              <w:rPr>
                <w:rFonts w:ascii="Trebuchet MS" w:hAnsi="Trebuchet MS" w:cs="Times New Roman"/>
                <w:color w:val="0A0905"/>
                <w:sz w:val="18"/>
                <w:szCs w:val="18"/>
                <w:vertAlign w:val="superscript"/>
                <w:lang w:val="en-US" w:eastAsia="en-US"/>
              </w:rPr>
              <w:t>3</w:t>
            </w:r>
            <w:r w:rsidRPr="00E455A5">
              <w:rPr>
                <w:rFonts w:ascii="Trebuchet MS" w:hAnsi="Trebuchet MS" w:cs="Times New Roman"/>
                <w:color w:val="0A0905"/>
                <w:sz w:val="18"/>
                <w:szCs w:val="18"/>
                <w:lang w:val="en-US" w:eastAsia="en-US"/>
              </w:rPr>
              <w:t>, Montoya R</w:t>
            </w:r>
            <w:r w:rsidRPr="00E455A5">
              <w:rPr>
                <w:rFonts w:ascii="Trebuchet MS" w:hAnsi="Trebuchet MS" w:cs="Times New Roman"/>
                <w:color w:val="0A0905"/>
                <w:sz w:val="18"/>
                <w:szCs w:val="18"/>
                <w:vertAlign w:val="superscript"/>
                <w:lang w:val="en-US" w:eastAsia="en-US"/>
              </w:rPr>
              <w:t>3,6</w:t>
            </w:r>
            <w:r w:rsidRPr="00E455A5">
              <w:rPr>
                <w:rFonts w:ascii="Trebuchet MS" w:hAnsi="Trebuchet MS" w:cs="Times New Roman"/>
                <w:color w:val="0A0905"/>
                <w:sz w:val="18"/>
                <w:szCs w:val="18"/>
                <w:lang w:val="en-US" w:eastAsia="en-US"/>
              </w:rPr>
              <w:t>, Boccia D</w:t>
            </w:r>
            <w:r w:rsidRPr="00E455A5">
              <w:rPr>
                <w:rFonts w:ascii="Trebuchet MS" w:hAnsi="Trebuchet MS" w:cs="Times New Roman"/>
                <w:color w:val="0A0905"/>
                <w:sz w:val="18"/>
                <w:szCs w:val="18"/>
                <w:vertAlign w:val="superscript"/>
                <w:lang w:val="en-US" w:eastAsia="en-US"/>
              </w:rPr>
              <w:t>3,6</w:t>
            </w:r>
            <w:r w:rsidRPr="00E455A5">
              <w:rPr>
                <w:rFonts w:ascii="Trebuchet MS" w:hAnsi="Trebuchet MS" w:cs="Times New Roman"/>
                <w:color w:val="0A0905"/>
                <w:sz w:val="18"/>
                <w:szCs w:val="18"/>
                <w:lang w:val="en-US" w:eastAsia="en-US"/>
              </w:rPr>
              <w:t> </w:t>
            </w:r>
            <w:r w:rsidRPr="00E455A5">
              <w:rPr>
                <w:rFonts w:ascii="Trebuchet MS" w:hAnsi="Trebuchet MS" w:cs="Times New Roman"/>
                <w:i/>
                <w:iCs/>
                <w:color w:val="0A0905"/>
                <w:sz w:val="18"/>
                <w:szCs w:val="18"/>
                <w:lang w:val="en-US" w:eastAsia="en-US"/>
              </w:rPr>
              <w:t>1UCLA David Geffen School of Medicine, Los Angeles, CA; 2Imperial College, London, United Kingdom; 3Innovation for health and development, London, United Kingdom; 4Asociación Benéfica PRISMA, Lima, Peru; 5Universidad Peruana Cayetano Heredia Faculty of Sciences and Philosophy, Lima, Peru and 6London School of Hygiene and Tropical Medicine, London, United Kingdom.</w:t>
            </w:r>
          </w:p>
        </w:tc>
        <w:tc>
          <w:tcPr>
            <w:tcW w:w="4560" w:type="dxa"/>
            <w:shd w:val="clear" w:color="auto" w:fill="FFFFFF"/>
            <w:tcMar>
              <w:top w:w="0" w:type="dxa"/>
              <w:left w:w="240" w:type="dxa"/>
              <w:bottom w:w="0" w:type="dxa"/>
              <w:right w:w="0" w:type="dxa"/>
            </w:tcMar>
          </w:tcPr>
          <w:p w:rsidR="00E455A5" w:rsidRPr="00E455A5" w:rsidRDefault="00E455A5" w:rsidP="00E455A5">
            <w:pPr>
              <w:spacing w:after="0" w:line="360" w:lineRule="atLeast"/>
              <w:rPr>
                <w:rFonts w:ascii="Trebuchet MS" w:eastAsia="Times New Roman" w:hAnsi="Trebuchet MS" w:cs="Times New Roman"/>
                <w:color w:val="0A0905"/>
                <w:sz w:val="18"/>
                <w:szCs w:val="18"/>
                <w:lang w:val="en-US" w:eastAsia="en-US"/>
              </w:rPr>
            </w:pPr>
          </w:p>
        </w:tc>
      </w:tr>
      <w:tr w:rsidR="00E455A5" w:rsidRPr="00E455A5" w:rsidTr="00E455A5">
        <w:trPr>
          <w:tblCellSpacing w:w="15" w:type="dxa"/>
        </w:trPr>
        <w:tc>
          <w:tcPr>
            <w:tcW w:w="9600" w:type="dxa"/>
            <w:shd w:val="clear" w:color="auto" w:fill="FFFFFF"/>
            <w:hideMark/>
          </w:tcPr>
          <w:p w:rsidR="00E455A5" w:rsidRPr="00E455A5" w:rsidRDefault="00E455A5" w:rsidP="00E455A5">
            <w:pPr>
              <w:spacing w:after="0" w:line="360" w:lineRule="atLeast"/>
              <w:ind w:firstLine="480"/>
              <w:rPr>
                <w:rFonts w:ascii="Trebuchet MS" w:hAnsi="Trebuchet MS" w:cs="Times New Roman"/>
                <w:color w:val="0A0905"/>
                <w:sz w:val="18"/>
                <w:szCs w:val="18"/>
                <w:lang w:val="en-US" w:eastAsia="en-US"/>
              </w:rPr>
            </w:pPr>
            <w:bookmarkStart w:id="2" w:name="1563"/>
            <w:bookmarkEnd w:id="2"/>
            <w:r w:rsidRPr="00E455A5">
              <w:rPr>
                <w:rFonts w:ascii="Trebuchet MS" w:hAnsi="Trebuchet MS" w:cs="Times New Roman"/>
                <w:b/>
                <w:bCs/>
                <w:color w:val="0A0905"/>
                <w:sz w:val="18"/>
                <w:szCs w:val="18"/>
                <w:lang w:val="en-US" w:eastAsia="en-US"/>
              </w:rPr>
              <w:t>Purpose of Study:</w:t>
            </w:r>
            <w:r w:rsidRPr="00E455A5">
              <w:rPr>
                <w:rFonts w:ascii="Trebuchet MS" w:hAnsi="Trebuchet MS" w:cs="Times New Roman"/>
                <w:color w:val="0A0905"/>
                <w:sz w:val="18"/>
                <w:szCs w:val="18"/>
                <w:lang w:val="en-US" w:eastAsia="en-US"/>
              </w:rPr>
              <w:t> Tuberculosis (TB) is associated with poverty, stigma and marginalization, which are risk factors for psycho-morbidity, but little is known about the mental health of TB patients. We therefore studied interactions between TB, depression, socio-demographic factors and TB treatment adherence among the urban poor.</w:t>
            </w:r>
          </w:p>
        </w:tc>
        <w:tc>
          <w:tcPr>
            <w:tcW w:w="4560" w:type="dxa"/>
            <w:shd w:val="clear" w:color="auto" w:fill="FFFFFF"/>
            <w:tcMar>
              <w:top w:w="0" w:type="dxa"/>
              <w:left w:w="240" w:type="dxa"/>
              <w:bottom w:w="0" w:type="dxa"/>
              <w:right w:w="0" w:type="dxa"/>
            </w:tcMar>
          </w:tcPr>
          <w:p w:rsidR="00E455A5" w:rsidRPr="00E455A5" w:rsidRDefault="00E455A5" w:rsidP="00E455A5">
            <w:pPr>
              <w:spacing w:after="0" w:line="360" w:lineRule="atLeast"/>
              <w:rPr>
                <w:rFonts w:ascii="Trebuchet MS" w:eastAsia="Times New Roman" w:hAnsi="Trebuchet MS" w:cs="Times New Roman"/>
                <w:color w:val="0A0905"/>
                <w:sz w:val="18"/>
                <w:szCs w:val="18"/>
                <w:lang w:val="en-US" w:eastAsia="en-US"/>
              </w:rPr>
            </w:pPr>
          </w:p>
        </w:tc>
      </w:tr>
      <w:tr w:rsidR="00E455A5" w:rsidRPr="00E455A5" w:rsidTr="00E455A5">
        <w:trPr>
          <w:tblCellSpacing w:w="15" w:type="dxa"/>
        </w:trPr>
        <w:tc>
          <w:tcPr>
            <w:tcW w:w="9600" w:type="dxa"/>
            <w:shd w:val="clear" w:color="auto" w:fill="FFFFFF"/>
            <w:hideMark/>
          </w:tcPr>
          <w:p w:rsidR="00E455A5" w:rsidRPr="00E455A5" w:rsidRDefault="00E455A5" w:rsidP="00E455A5">
            <w:pPr>
              <w:spacing w:after="0" w:line="360" w:lineRule="atLeast"/>
              <w:ind w:firstLine="480"/>
              <w:rPr>
                <w:rFonts w:ascii="Trebuchet MS" w:hAnsi="Trebuchet MS" w:cs="Times New Roman"/>
                <w:color w:val="0A0905"/>
                <w:sz w:val="18"/>
                <w:szCs w:val="18"/>
                <w:lang w:val="en-US" w:eastAsia="en-US"/>
              </w:rPr>
            </w:pPr>
            <w:bookmarkStart w:id="3" w:name="1564"/>
            <w:bookmarkEnd w:id="3"/>
            <w:r w:rsidRPr="00E455A5">
              <w:rPr>
                <w:rFonts w:ascii="Trebuchet MS" w:hAnsi="Trebuchet MS" w:cs="Times New Roman"/>
                <w:b/>
                <w:bCs/>
                <w:color w:val="0A0905"/>
                <w:sz w:val="18"/>
                <w:szCs w:val="18"/>
                <w:lang w:val="en-US" w:eastAsia="en-US"/>
              </w:rPr>
              <w:t>Methods Used:</w:t>
            </w:r>
            <w:r w:rsidRPr="00E455A5">
              <w:rPr>
                <w:rFonts w:ascii="Trebuchet MS" w:hAnsi="Trebuchet MS" w:cs="Times New Roman"/>
                <w:color w:val="0A0905"/>
                <w:sz w:val="18"/>
                <w:szCs w:val="18"/>
                <w:lang w:val="en-US" w:eastAsia="en-US"/>
              </w:rPr>
              <w:t> Over 7 years, patients with newly diagnosed or recurrent TB and randomly selected healthy controls from shantytowns in Lima were evaluated in a case control study and the patients were then followed-up to determine their treatment outcome. Each participant provided demographic and socio-economic data and completed a Beck Depression Inventory (II). Depression scores were adjusted for overlap with the physical symptoms of TB. Poverty was assessed with a composite socio-economic index. Data were analyzed with linear and logistic regressions.</w:t>
            </w:r>
          </w:p>
        </w:tc>
        <w:tc>
          <w:tcPr>
            <w:tcW w:w="4560" w:type="dxa"/>
            <w:shd w:val="clear" w:color="auto" w:fill="FFFFFF"/>
            <w:tcMar>
              <w:top w:w="0" w:type="dxa"/>
              <w:left w:w="240" w:type="dxa"/>
              <w:bottom w:w="0" w:type="dxa"/>
              <w:right w:w="0" w:type="dxa"/>
            </w:tcMar>
          </w:tcPr>
          <w:p w:rsidR="00E455A5" w:rsidRPr="00E455A5" w:rsidRDefault="00E455A5" w:rsidP="00E455A5">
            <w:pPr>
              <w:spacing w:after="0" w:line="360" w:lineRule="atLeast"/>
              <w:rPr>
                <w:rFonts w:ascii="Trebuchet MS" w:eastAsia="Times New Roman" w:hAnsi="Trebuchet MS" w:cs="Times New Roman"/>
                <w:color w:val="0A0905"/>
                <w:sz w:val="18"/>
                <w:szCs w:val="18"/>
                <w:lang w:val="en-US" w:eastAsia="en-US"/>
              </w:rPr>
            </w:pPr>
          </w:p>
        </w:tc>
      </w:tr>
      <w:tr w:rsidR="00E455A5" w:rsidRPr="00E455A5" w:rsidTr="00E455A5">
        <w:trPr>
          <w:tblCellSpacing w:w="15" w:type="dxa"/>
        </w:trPr>
        <w:tc>
          <w:tcPr>
            <w:tcW w:w="9600" w:type="dxa"/>
            <w:shd w:val="clear" w:color="auto" w:fill="FFFFFF"/>
            <w:hideMark/>
          </w:tcPr>
          <w:p w:rsidR="00E455A5" w:rsidRPr="00E455A5" w:rsidRDefault="00E455A5" w:rsidP="00E455A5">
            <w:pPr>
              <w:spacing w:after="0" w:line="360" w:lineRule="atLeast"/>
              <w:ind w:firstLine="480"/>
              <w:rPr>
                <w:rFonts w:ascii="Trebuchet MS" w:hAnsi="Trebuchet MS" w:cs="Times New Roman"/>
                <w:color w:val="0A0905"/>
                <w:sz w:val="18"/>
                <w:szCs w:val="18"/>
                <w:lang w:val="en-US" w:eastAsia="en-US"/>
              </w:rPr>
            </w:pPr>
            <w:bookmarkStart w:id="4" w:name="1565"/>
            <w:bookmarkEnd w:id="4"/>
            <w:r w:rsidRPr="00E455A5">
              <w:rPr>
                <w:rFonts w:ascii="Trebuchet MS" w:hAnsi="Trebuchet MS" w:cs="Times New Roman"/>
                <w:b/>
                <w:bCs/>
                <w:color w:val="0A0905"/>
                <w:sz w:val="18"/>
                <w:szCs w:val="18"/>
                <w:lang w:val="en-US" w:eastAsia="en-US"/>
              </w:rPr>
              <w:t>Summary of Results:</w:t>
            </w:r>
            <w:r w:rsidRPr="00E455A5">
              <w:rPr>
                <w:rFonts w:ascii="Trebuchet MS" w:hAnsi="Trebuchet MS" w:cs="Times New Roman"/>
                <w:color w:val="0A0905"/>
                <w:sz w:val="18"/>
                <w:szCs w:val="18"/>
                <w:lang w:val="en-US" w:eastAsia="en-US"/>
              </w:rPr>
              <w:t xml:space="preserve"> TB patients (n=1,734) had frequent depression (53%), severe depression (15%) and suicidal ideation (4.7%). Depression was more common and depression scores were higher than in randomly selected healthy members of the same community (n=470; both P&lt;0.005), independently of poverty, education and other cofactors. For TB patients, higher depression scores were independently associated with female gender, poverty, incomplete schooling, illicit drug use, perceived discrimination and longer delay in seeking medical care for TB symptoms (all P&lt;0.01). Furthermore, a prior history or current episode of treatment abandonment was significantly </w:t>
            </w:r>
            <w:r w:rsidRPr="00E455A5">
              <w:rPr>
                <w:rFonts w:ascii="Trebuchet MS" w:hAnsi="Trebuchet MS" w:cs="Times New Roman"/>
                <w:color w:val="0A0905"/>
                <w:sz w:val="18"/>
                <w:szCs w:val="18"/>
                <w:lang w:val="en-US" w:eastAsia="en-US"/>
              </w:rPr>
              <w:lastRenderedPageBreak/>
              <w:t>related to current depressive state (OR 1.8, P&lt;0.001)</w:t>
            </w:r>
          </w:p>
        </w:tc>
        <w:tc>
          <w:tcPr>
            <w:tcW w:w="4560" w:type="dxa"/>
            <w:shd w:val="clear" w:color="auto" w:fill="FFFFFF"/>
            <w:tcMar>
              <w:top w:w="0" w:type="dxa"/>
              <w:left w:w="240" w:type="dxa"/>
              <w:bottom w:w="0" w:type="dxa"/>
              <w:right w:w="0" w:type="dxa"/>
            </w:tcMar>
          </w:tcPr>
          <w:p w:rsidR="00E455A5" w:rsidRPr="00E455A5" w:rsidRDefault="00E455A5" w:rsidP="00E455A5">
            <w:pPr>
              <w:spacing w:after="0" w:line="360" w:lineRule="atLeast"/>
              <w:rPr>
                <w:rFonts w:ascii="Trebuchet MS" w:eastAsia="Times New Roman" w:hAnsi="Trebuchet MS" w:cs="Times New Roman"/>
                <w:color w:val="0A0905"/>
                <w:sz w:val="18"/>
                <w:szCs w:val="18"/>
                <w:lang w:val="en-US" w:eastAsia="en-US"/>
              </w:rPr>
            </w:pPr>
          </w:p>
        </w:tc>
      </w:tr>
      <w:tr w:rsidR="00E455A5" w:rsidRPr="00E455A5" w:rsidTr="00E455A5">
        <w:trPr>
          <w:tblCellSpacing w:w="15" w:type="dxa"/>
        </w:trPr>
        <w:tc>
          <w:tcPr>
            <w:tcW w:w="9600" w:type="dxa"/>
            <w:shd w:val="clear" w:color="auto" w:fill="FFFFFF"/>
            <w:hideMark/>
          </w:tcPr>
          <w:p w:rsidR="00E455A5" w:rsidRPr="00E455A5" w:rsidRDefault="00E455A5" w:rsidP="00E455A5">
            <w:pPr>
              <w:spacing w:after="0" w:line="360" w:lineRule="atLeast"/>
              <w:ind w:firstLine="480"/>
              <w:rPr>
                <w:rFonts w:ascii="Trebuchet MS" w:hAnsi="Trebuchet MS" w:cs="Times New Roman"/>
                <w:color w:val="0A0905"/>
                <w:sz w:val="18"/>
                <w:szCs w:val="18"/>
                <w:lang w:val="en-US" w:eastAsia="en-US"/>
              </w:rPr>
            </w:pPr>
            <w:bookmarkStart w:id="5" w:name="1566"/>
            <w:bookmarkEnd w:id="5"/>
            <w:r w:rsidRPr="00E455A5">
              <w:rPr>
                <w:rFonts w:ascii="Trebuchet MS" w:hAnsi="Trebuchet MS" w:cs="Times New Roman"/>
                <w:b/>
                <w:bCs/>
                <w:color w:val="0A0905"/>
                <w:sz w:val="18"/>
                <w:szCs w:val="18"/>
                <w:lang w:val="en-US" w:eastAsia="en-US"/>
              </w:rPr>
              <w:lastRenderedPageBreak/>
              <w:t>Conclusions:</w:t>
            </w:r>
            <w:r w:rsidRPr="00E455A5">
              <w:rPr>
                <w:rFonts w:ascii="Trebuchet MS" w:hAnsi="Trebuchet MS" w:cs="Times New Roman"/>
                <w:color w:val="0A0905"/>
                <w:sz w:val="18"/>
                <w:szCs w:val="18"/>
                <w:lang w:val="en-US" w:eastAsia="en-US"/>
              </w:rPr>
              <w:t> Depression was highly prevalent among newly diagnosed TB patients and especially associated with prior treatment abandonment. TB programs may optimize disease control, treatment adherence and quality of life by diagnosing and addressing the mental health issues that affect TB patients.</w:t>
            </w:r>
          </w:p>
        </w:tc>
        <w:tc>
          <w:tcPr>
            <w:tcW w:w="0" w:type="auto"/>
            <w:shd w:val="clear" w:color="auto" w:fill="FFFFFF"/>
            <w:vAlign w:val="center"/>
          </w:tcPr>
          <w:p w:rsidR="00E455A5" w:rsidRPr="00E455A5" w:rsidRDefault="00E455A5" w:rsidP="00E455A5">
            <w:pPr>
              <w:spacing w:after="0"/>
              <w:rPr>
                <w:rFonts w:ascii="Times New Roman" w:eastAsia="Times New Roman" w:hAnsi="Times New Roman" w:cs="Times New Roman"/>
                <w:sz w:val="20"/>
                <w:szCs w:val="20"/>
                <w:lang w:val="en-US" w:eastAsia="en-US"/>
              </w:rPr>
            </w:pPr>
          </w:p>
        </w:tc>
      </w:tr>
    </w:tbl>
    <w:p w:rsidR="0043418D" w:rsidRDefault="0043418D"/>
    <w:sectPr w:rsidR="0043418D" w:rsidSect="0043418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5A5"/>
    <w:rsid w:val="0043418D"/>
    <w:rsid w:val="007F1B55"/>
    <w:rsid w:val="00A44A03"/>
    <w:rsid w:val="00A80AE4"/>
    <w:rsid w:val="00E455A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97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A80A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RUheading1">
    <w:name w:val="NAMRU heading 1"/>
    <w:basedOn w:val="Normal"/>
    <w:next w:val="Normal"/>
    <w:autoRedefine/>
    <w:qFormat/>
    <w:rsid w:val="00A80AE4"/>
    <w:pPr>
      <w:widowControl w:val="0"/>
      <w:shd w:val="clear" w:color="auto" w:fill="606060"/>
      <w:autoSpaceDE w:val="0"/>
      <w:autoSpaceDN w:val="0"/>
      <w:adjustRightInd w:val="0"/>
      <w:spacing w:after="0"/>
      <w:jc w:val="center"/>
      <w:outlineLvl w:val="0"/>
    </w:pPr>
    <w:rPr>
      <w:rFonts w:ascii="Arial" w:hAnsi="Arial" w:cs="Arial"/>
      <w:color w:val="FFFFFF" w:themeColor="background1"/>
      <w:sz w:val="20"/>
      <w:szCs w:val="20"/>
      <w:lang w:val="en-US"/>
    </w:rPr>
  </w:style>
  <w:style w:type="paragraph" w:customStyle="1" w:styleId="NAMRUHeading2">
    <w:name w:val="NAMRU Heading 2"/>
    <w:basedOn w:val="Normal"/>
    <w:next w:val="Normal"/>
    <w:autoRedefine/>
    <w:qFormat/>
    <w:rsid w:val="00A80AE4"/>
    <w:pPr>
      <w:widowControl w:val="0"/>
      <w:autoSpaceDE w:val="0"/>
      <w:autoSpaceDN w:val="0"/>
      <w:adjustRightInd w:val="0"/>
      <w:spacing w:after="0"/>
    </w:pPr>
    <w:rPr>
      <w:rFonts w:ascii="Arial" w:hAnsi="Arial" w:cs="Arial"/>
      <w:b/>
      <w:i/>
      <w:sz w:val="20"/>
      <w:szCs w:val="20"/>
      <w:u w:val="single"/>
      <w:lang w:val="en-US"/>
    </w:rPr>
  </w:style>
  <w:style w:type="character" w:customStyle="1" w:styleId="Heading2Char">
    <w:name w:val="Heading 2 Char"/>
    <w:basedOn w:val="DefaultParagraphFont"/>
    <w:link w:val="Heading2"/>
    <w:uiPriority w:val="9"/>
    <w:semiHidden/>
    <w:rsid w:val="00A80AE4"/>
    <w:rPr>
      <w:rFonts w:asciiTheme="majorHAnsi" w:eastAsiaTheme="majorEastAsia" w:hAnsiTheme="majorHAnsi" w:cstheme="majorBidi"/>
      <w:b/>
      <w:bCs/>
      <w:color w:val="4F81BD" w:themeColor="accent1"/>
      <w:sz w:val="26"/>
      <w:szCs w:val="26"/>
      <w:lang w:val="en-GB"/>
    </w:rPr>
  </w:style>
  <w:style w:type="paragraph" w:styleId="TOC2">
    <w:name w:val="toc 2"/>
    <w:aliases w:val="NAMRU  Heading2"/>
    <w:basedOn w:val="Normal"/>
    <w:next w:val="Normal"/>
    <w:autoRedefine/>
    <w:uiPriority w:val="39"/>
    <w:unhideWhenUsed/>
    <w:qFormat/>
    <w:rsid w:val="00A80AE4"/>
    <w:pPr>
      <w:spacing w:after="0"/>
      <w:ind w:left="240"/>
    </w:pPr>
    <w:rPr>
      <w:b/>
      <w:sz w:val="22"/>
      <w:szCs w:val="22"/>
    </w:rPr>
  </w:style>
  <w:style w:type="paragraph" w:customStyle="1" w:styleId="NAMRUHeading3">
    <w:name w:val="NAMRU Heading3"/>
    <w:basedOn w:val="Normal"/>
    <w:autoRedefine/>
    <w:qFormat/>
    <w:rsid w:val="00A44A03"/>
    <w:pPr>
      <w:widowControl w:val="0"/>
      <w:autoSpaceDE w:val="0"/>
      <w:autoSpaceDN w:val="0"/>
      <w:adjustRightInd w:val="0"/>
      <w:spacing w:after="0"/>
    </w:pPr>
    <w:rPr>
      <w:rFonts w:ascii="Arial" w:hAnsi="Arial" w:cs="Arial"/>
      <w:sz w:val="20"/>
      <w:szCs w:val="20"/>
      <w:u w:val="single"/>
      <w:lang w:val="en-US"/>
    </w:rPr>
  </w:style>
  <w:style w:type="character" w:styleId="Hyperlink">
    <w:name w:val="Hyperlink"/>
    <w:basedOn w:val="DefaultParagraphFont"/>
    <w:uiPriority w:val="99"/>
    <w:semiHidden/>
    <w:unhideWhenUsed/>
    <w:rsid w:val="00E455A5"/>
    <w:rPr>
      <w:color w:val="0000FF"/>
      <w:u w:val="single"/>
    </w:rPr>
  </w:style>
  <w:style w:type="paragraph" w:customStyle="1" w:styleId="fulltext-text">
    <w:name w:val="fulltext-text"/>
    <w:basedOn w:val="Normal"/>
    <w:rsid w:val="00E455A5"/>
    <w:pPr>
      <w:spacing w:before="100" w:beforeAutospacing="1" w:after="100" w:afterAutospacing="1"/>
    </w:pPr>
    <w:rPr>
      <w:rFonts w:ascii="Times" w:hAnsi="Times"/>
      <w:sz w:val="20"/>
      <w:szCs w:val="20"/>
      <w:lang w:val="en-US" w:eastAsia="en-US"/>
    </w:rPr>
  </w:style>
  <w:style w:type="character" w:customStyle="1" w:styleId="apple-converted-space">
    <w:name w:val="apple-converted-space"/>
    <w:basedOn w:val="DefaultParagraphFont"/>
    <w:rsid w:val="00E455A5"/>
  </w:style>
  <w:style w:type="character" w:customStyle="1" w:styleId="fulltext-it">
    <w:name w:val="fulltext-it"/>
    <w:basedOn w:val="DefaultParagraphFont"/>
    <w:rsid w:val="00E455A5"/>
  </w:style>
  <w:style w:type="character" w:customStyle="1" w:styleId="fulltext-bd">
    <w:name w:val="fulltext-bd"/>
    <w:basedOn w:val="DefaultParagraphFont"/>
    <w:rsid w:val="00E455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A80A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RUheading1">
    <w:name w:val="NAMRU heading 1"/>
    <w:basedOn w:val="Normal"/>
    <w:next w:val="Normal"/>
    <w:autoRedefine/>
    <w:qFormat/>
    <w:rsid w:val="00A80AE4"/>
    <w:pPr>
      <w:widowControl w:val="0"/>
      <w:shd w:val="clear" w:color="auto" w:fill="606060"/>
      <w:autoSpaceDE w:val="0"/>
      <w:autoSpaceDN w:val="0"/>
      <w:adjustRightInd w:val="0"/>
      <w:spacing w:after="0"/>
      <w:jc w:val="center"/>
      <w:outlineLvl w:val="0"/>
    </w:pPr>
    <w:rPr>
      <w:rFonts w:ascii="Arial" w:hAnsi="Arial" w:cs="Arial"/>
      <w:color w:val="FFFFFF" w:themeColor="background1"/>
      <w:sz w:val="20"/>
      <w:szCs w:val="20"/>
      <w:lang w:val="en-US"/>
    </w:rPr>
  </w:style>
  <w:style w:type="paragraph" w:customStyle="1" w:styleId="NAMRUHeading2">
    <w:name w:val="NAMRU Heading 2"/>
    <w:basedOn w:val="Normal"/>
    <w:next w:val="Normal"/>
    <w:autoRedefine/>
    <w:qFormat/>
    <w:rsid w:val="00A80AE4"/>
    <w:pPr>
      <w:widowControl w:val="0"/>
      <w:autoSpaceDE w:val="0"/>
      <w:autoSpaceDN w:val="0"/>
      <w:adjustRightInd w:val="0"/>
      <w:spacing w:after="0"/>
    </w:pPr>
    <w:rPr>
      <w:rFonts w:ascii="Arial" w:hAnsi="Arial" w:cs="Arial"/>
      <w:b/>
      <w:i/>
      <w:sz w:val="20"/>
      <w:szCs w:val="20"/>
      <w:u w:val="single"/>
      <w:lang w:val="en-US"/>
    </w:rPr>
  </w:style>
  <w:style w:type="character" w:customStyle="1" w:styleId="Heading2Char">
    <w:name w:val="Heading 2 Char"/>
    <w:basedOn w:val="DefaultParagraphFont"/>
    <w:link w:val="Heading2"/>
    <w:uiPriority w:val="9"/>
    <w:semiHidden/>
    <w:rsid w:val="00A80AE4"/>
    <w:rPr>
      <w:rFonts w:asciiTheme="majorHAnsi" w:eastAsiaTheme="majorEastAsia" w:hAnsiTheme="majorHAnsi" w:cstheme="majorBidi"/>
      <w:b/>
      <w:bCs/>
      <w:color w:val="4F81BD" w:themeColor="accent1"/>
      <w:sz w:val="26"/>
      <w:szCs w:val="26"/>
      <w:lang w:val="en-GB"/>
    </w:rPr>
  </w:style>
  <w:style w:type="paragraph" w:styleId="TOC2">
    <w:name w:val="toc 2"/>
    <w:aliases w:val="NAMRU  Heading2"/>
    <w:basedOn w:val="Normal"/>
    <w:next w:val="Normal"/>
    <w:autoRedefine/>
    <w:uiPriority w:val="39"/>
    <w:unhideWhenUsed/>
    <w:qFormat/>
    <w:rsid w:val="00A80AE4"/>
    <w:pPr>
      <w:spacing w:after="0"/>
      <w:ind w:left="240"/>
    </w:pPr>
    <w:rPr>
      <w:b/>
      <w:sz w:val="22"/>
      <w:szCs w:val="22"/>
    </w:rPr>
  </w:style>
  <w:style w:type="paragraph" w:customStyle="1" w:styleId="NAMRUHeading3">
    <w:name w:val="NAMRU Heading3"/>
    <w:basedOn w:val="Normal"/>
    <w:autoRedefine/>
    <w:qFormat/>
    <w:rsid w:val="00A44A03"/>
    <w:pPr>
      <w:widowControl w:val="0"/>
      <w:autoSpaceDE w:val="0"/>
      <w:autoSpaceDN w:val="0"/>
      <w:adjustRightInd w:val="0"/>
      <w:spacing w:after="0"/>
    </w:pPr>
    <w:rPr>
      <w:rFonts w:ascii="Arial" w:hAnsi="Arial" w:cs="Arial"/>
      <w:sz w:val="20"/>
      <w:szCs w:val="20"/>
      <w:u w:val="single"/>
      <w:lang w:val="en-US"/>
    </w:rPr>
  </w:style>
  <w:style w:type="character" w:styleId="Hyperlink">
    <w:name w:val="Hyperlink"/>
    <w:basedOn w:val="DefaultParagraphFont"/>
    <w:uiPriority w:val="99"/>
    <w:semiHidden/>
    <w:unhideWhenUsed/>
    <w:rsid w:val="00E455A5"/>
    <w:rPr>
      <w:color w:val="0000FF"/>
      <w:u w:val="single"/>
    </w:rPr>
  </w:style>
  <w:style w:type="paragraph" w:customStyle="1" w:styleId="fulltext-text">
    <w:name w:val="fulltext-text"/>
    <w:basedOn w:val="Normal"/>
    <w:rsid w:val="00E455A5"/>
    <w:pPr>
      <w:spacing w:before="100" w:beforeAutospacing="1" w:after="100" w:afterAutospacing="1"/>
    </w:pPr>
    <w:rPr>
      <w:rFonts w:ascii="Times" w:hAnsi="Times"/>
      <w:sz w:val="20"/>
      <w:szCs w:val="20"/>
      <w:lang w:val="en-US" w:eastAsia="en-US"/>
    </w:rPr>
  </w:style>
  <w:style w:type="character" w:customStyle="1" w:styleId="apple-converted-space">
    <w:name w:val="apple-converted-space"/>
    <w:basedOn w:val="DefaultParagraphFont"/>
    <w:rsid w:val="00E455A5"/>
  </w:style>
  <w:style w:type="character" w:customStyle="1" w:styleId="fulltext-it">
    <w:name w:val="fulltext-it"/>
    <w:basedOn w:val="DefaultParagraphFont"/>
    <w:rsid w:val="00E455A5"/>
  </w:style>
  <w:style w:type="character" w:customStyle="1" w:styleId="fulltext-bd">
    <w:name w:val="fulltext-bd"/>
    <w:basedOn w:val="DefaultParagraphFont"/>
    <w:rsid w:val="00E4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30328">
      <w:bodyDiv w:val="1"/>
      <w:marLeft w:val="0"/>
      <w:marRight w:val="0"/>
      <w:marTop w:val="0"/>
      <w:marBottom w:val="0"/>
      <w:divBdr>
        <w:top w:val="none" w:sz="0" w:space="0" w:color="auto"/>
        <w:left w:val="none" w:sz="0" w:space="0" w:color="auto"/>
        <w:bottom w:val="none" w:sz="0" w:space="0" w:color="auto"/>
        <w:right w:val="none" w:sz="0" w:space="0" w:color="auto"/>
      </w:divBdr>
      <w:divsChild>
        <w:div w:id="980426820">
          <w:marLeft w:val="0"/>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2133</Characters>
  <Application>Microsoft Macintosh Word</Application>
  <DocSecurity>0</DocSecurity>
  <Lines>47</Lines>
  <Paragraphs>7</Paragraphs>
  <ScaleCrop>false</ScaleCrop>
  <HeadingPairs>
    <vt:vector size="2" baseType="variant">
      <vt:variant>
        <vt:lpstr>Title</vt:lpstr>
      </vt:variant>
      <vt:variant>
        <vt:i4>1</vt:i4>
      </vt:variant>
    </vt:vector>
  </HeadingPairs>
  <TitlesOfParts>
    <vt:vector size="1" baseType="lpstr">
      <vt:lpstr/>
    </vt:vector>
  </TitlesOfParts>
  <Manager/>
  <Company>LSHTM</Company>
  <LinksUpToDate>false</LinksUpToDate>
  <CharactersWithSpaces>2472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Evans</dc:creator>
  <cp:keywords/>
  <dc:description/>
  <cp:lastModifiedBy>Carlton Evans</cp:lastModifiedBy>
  <cp:revision>1</cp:revision>
  <dcterms:created xsi:type="dcterms:W3CDTF">2012-07-11T20:01:00Z</dcterms:created>
  <dcterms:modified xsi:type="dcterms:W3CDTF">2012-07-11T20:02:00Z</dcterms:modified>
  <cp:category/>
</cp:coreProperties>
</file>