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EF" w:rsidRDefault="002D4EF6">
      <w:pPr>
        <w:rPr>
          <w:color w:val="000000" w:themeColor="text1"/>
        </w:rPr>
      </w:pPr>
      <w:r w:rsidRPr="002D4EF6">
        <w:t>Martínez L, Arman A, Haveman N, Lundgren A, Cabrera L, Evans CA, Pelly TF, Saito M, Callacondo D, Oberhelman R, Collazo G, Carnero AM, Gilman RH.</w:t>
      </w:r>
      <w:r w:rsidRPr="002D4EF6">
        <w:br/>
      </w:r>
      <w:r w:rsidRPr="002D4EF6">
        <w:rPr>
          <w:u w:val="single"/>
        </w:rPr>
        <w:t>Cambios en la positividad de la prueba cutánea de tuberculina durante 20 años en barrios marginales periurbanos en Lima, Perú</w:t>
      </w:r>
      <w:bookmarkStart w:id="0" w:name="_GoBack"/>
      <w:bookmarkEnd w:id="0"/>
      <w:r w:rsidRPr="002D4EF6">
        <w:br/>
        <w:t>American Journal of Tropical Medicine and Hygiene 2013;89(3):507–515. doi: 10.4269/ajtmh.13-0005.</w:t>
      </w:r>
      <w:r w:rsidRPr="002D4EF6">
        <w:br/>
        <w:t>Open access: </w:t>
      </w:r>
      <w:hyperlink r:id="rId5" w:history="1">
        <w:r w:rsidRPr="002D4EF6">
          <w:rPr>
            <w:rStyle w:val="Hipervnculo"/>
            <w:color w:val="000000" w:themeColor="text1"/>
            <w:u w:val="none"/>
          </w:rPr>
          <w:t>https://www.ncbi.nlm.nih.gov/pubmed/23878185</w:t>
        </w:r>
      </w:hyperlink>
    </w:p>
    <w:p w:rsidR="002D4EF6" w:rsidRDefault="002D4EF6">
      <w:pPr>
        <w:rPr>
          <w:color w:val="000000" w:themeColor="text1"/>
        </w:rPr>
      </w:pPr>
    </w:p>
    <w:p w:rsidR="002D4EF6" w:rsidRDefault="002D4EF6" w:rsidP="002D4EF6">
      <w:pPr>
        <w:jc w:val="both"/>
      </w:pPr>
      <w:r w:rsidRPr="002D4EF6">
        <w:rPr>
          <w:rFonts w:ascii="Arial" w:hAnsi="Arial" w:cs="Arial"/>
          <w:b/>
          <w:sz w:val="21"/>
          <w:szCs w:val="21"/>
        </w:rPr>
        <w:t>Resumen:</w:t>
      </w:r>
      <w:r w:rsidRPr="002D4EF6">
        <w:t xml:space="preserve"> Se realizó un estudio transversal de base comunitaria en 2012 con 428 residentes de barrios marginales periurbanos en Lima, Perú, para estudiar los factores de riesgo y los cambios en la infección tuberculosa latente en grupos estratificados por edad en comparación con nuestros datos de la misma región en 1990 (N = 219) y 2005 (N = 103). La positividad de la prueba cutánea de tuberculina en estas comunidades fue altamente prevalente en 52% en general, aumentó con la edad (P &lt;0.01) y fue similar a 2005 (53%) y 1990 (48%). De 1990 a 2012, la prevalencia de la positividad de la tuberculina disminuyó en grupos de 5-14 y 15-24 años (a 17% y 34%, respectivamente, ambos P &lt;0.05). Sin embargo, esto puede explicarse por el cese de la revacunación de Bacille Calmette-Guérin durante este período, porque la revacunación de Bacille Calmette-Guérin duplicó la positividad de la tuberculina. Durante el mismo período de 22 años, la positividad de la tuberculina en el grupo de ≥ 25 años se mantuvo alta (71%, P = 0.3), lo que sugiere que la infección tuberculosa latente prevalece en la población adulta a pesar de mejorar la atención médica y el desarrollo socioeconómico en esta región.</w:t>
      </w:r>
    </w:p>
    <w:p w:rsidR="002D4EF6" w:rsidRDefault="002D4EF6"/>
    <w:p w:rsidR="002D4EF6" w:rsidRDefault="002D4EF6"/>
    <w:sectPr w:rsidR="002D4E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F6"/>
    <w:rsid w:val="002D4EF6"/>
    <w:rsid w:val="009308EF"/>
    <w:rsid w:val="00ED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D4E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D4E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cbi.nlm.nih.gov/pubmed/238781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</cp:revision>
  <dcterms:created xsi:type="dcterms:W3CDTF">2020-05-31T20:19:00Z</dcterms:created>
  <dcterms:modified xsi:type="dcterms:W3CDTF">2020-05-31T20:26:00Z</dcterms:modified>
</cp:coreProperties>
</file>