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E46C3" w14:textId="01D86012" w:rsidR="00F21C01" w:rsidRPr="00784727" w:rsidRDefault="00F21C01">
      <w:pPr>
        <w:rPr>
          <w:rFonts w:ascii="Calibri" w:hAnsi="Calibri"/>
          <w:lang w:val="en-GB"/>
        </w:rPr>
      </w:pPr>
      <w:r w:rsidRPr="00784727">
        <w:rPr>
          <w:rFonts w:ascii="Calibri" w:hAnsi="Calibri" w:cs="Arial"/>
          <w:shd w:val="clear" w:color="auto" w:fill="FFFFFF"/>
          <w:lang w:val="en-GB"/>
        </w:rPr>
        <w:t>Mayta H, Gilman RH, Arenas F, Valencia T, Caviedes L, Montenegro SH, Ticona E, Ortiz J, Chumpitaz R, Evans CA, Williams DL, The Tuberculosis Working Group in Peru.</w:t>
      </w:r>
      <w:r w:rsidRPr="00784727">
        <w:rPr>
          <w:rFonts w:ascii="Calibri" w:hAnsi="Calibri" w:cs="Arial"/>
          <w:lang w:val="en-GB"/>
        </w:rPr>
        <w:br/>
      </w:r>
      <w:r w:rsidRPr="00F21C01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Evaluación de un ensayo de generador de heteroduplex universal basado en PCR como herramienta para la detección rápida de Mycobacterium tuberculosis resistente a múltiples fármacos en Perú.</w:t>
      </w:r>
      <w:r w:rsidRPr="00F21C01">
        <w:rPr>
          <w:rFonts w:ascii="Calibri" w:hAnsi="Calibri" w:cs="Arial"/>
        </w:rPr>
        <w:br/>
      </w:r>
      <w:r w:rsidRPr="00784727">
        <w:rPr>
          <w:rStyle w:val="nfasis"/>
          <w:rFonts w:ascii="Calibri" w:hAnsi="Calibri" w:cs="Arial"/>
          <w:bdr w:val="none" w:sz="0" w:space="0" w:color="auto" w:frame="1"/>
          <w:shd w:val="clear" w:color="auto" w:fill="FFFFFF"/>
          <w:lang w:val="en-GB"/>
        </w:rPr>
        <w:t>Journal of Clinical Microbiology</w:t>
      </w:r>
      <w:r w:rsidRPr="00784727">
        <w:rPr>
          <w:rFonts w:ascii="Calibri" w:hAnsi="Calibri" w:cs="Arial"/>
          <w:shd w:val="clear" w:color="auto" w:fill="FFFFFF"/>
          <w:lang w:val="en-GB"/>
        </w:rPr>
        <w:t xml:space="preserve"> 2003;41(12):5774-7. </w:t>
      </w:r>
      <w:r w:rsidRPr="00784727">
        <w:rPr>
          <w:rFonts w:ascii="Calibri" w:hAnsi="Calibri" w:cs="Segoe UI"/>
          <w:shd w:val="clear" w:color="auto" w:fill="FFFFFF"/>
          <w:lang w:val="en-GB"/>
        </w:rPr>
        <w:t>doi: 10.1128/jcm.41.12.5774-5777.2003.</w:t>
      </w:r>
      <w:r w:rsidRPr="00784727">
        <w:rPr>
          <w:rFonts w:ascii="Calibri" w:hAnsi="Calibri" w:cs="Arial"/>
          <w:lang w:val="en-GB"/>
        </w:rPr>
        <w:br/>
      </w:r>
      <w:r w:rsidRPr="00784727">
        <w:rPr>
          <w:rFonts w:ascii="Calibri" w:hAnsi="Calibri" w:cs="Arial"/>
          <w:shd w:val="clear" w:color="auto" w:fill="FFFFFF"/>
          <w:lang w:val="en-GB"/>
        </w:rPr>
        <w:t>Acceso abierto:</w:t>
      </w:r>
      <w:r w:rsidRPr="001F6175">
        <w:rPr>
          <w:rFonts w:ascii="Calibri" w:hAnsi="Calibri" w:cs="Arial"/>
          <w:shd w:val="clear" w:color="auto" w:fill="FFFFFF"/>
          <w:lang w:val="en-GB"/>
        </w:rPr>
        <w:t> </w:t>
      </w:r>
      <w:hyperlink r:id="rId5" w:history="1">
        <w:r w:rsidRPr="001F6175">
          <w:rPr>
            <w:rStyle w:val="Hipervnculo"/>
            <w:rFonts w:ascii="Calibri" w:hAnsi="Calibri" w:cs="Arial"/>
            <w:color w:val="auto"/>
            <w:u w:val="none"/>
            <w:bdr w:val="none" w:sz="0" w:space="0" w:color="auto" w:frame="1"/>
            <w:shd w:val="clear" w:color="auto" w:fill="FFFFFF"/>
            <w:lang w:val="en-GB"/>
          </w:rPr>
          <w:t>https://www.ncbi.nlm.nih.gov/pubmed/14662980</w:t>
        </w:r>
      </w:hyperlink>
    </w:p>
    <w:p w14:paraId="67AC40F0" w14:textId="564419B8" w:rsidR="00F21C01" w:rsidRPr="00784727" w:rsidRDefault="00F21C01">
      <w:pPr>
        <w:rPr>
          <w:rFonts w:ascii="Calibri" w:hAnsi="Calibri"/>
          <w:lang w:val="en-GB"/>
        </w:rPr>
      </w:pPr>
    </w:p>
    <w:p w14:paraId="5EF92DA1" w14:textId="77777777" w:rsidR="00F21C01" w:rsidRPr="00F21C01" w:rsidRDefault="00F21C01" w:rsidP="00F21C01">
      <w:pPr>
        <w:rPr>
          <w:rFonts w:ascii="Arial" w:hAnsi="Arial" w:cs="Arial"/>
          <w:b/>
          <w:bCs/>
        </w:rPr>
      </w:pPr>
      <w:r w:rsidRPr="00F21C01">
        <w:rPr>
          <w:rFonts w:ascii="Arial" w:hAnsi="Arial" w:cs="Arial"/>
          <w:b/>
          <w:bCs/>
        </w:rPr>
        <w:t>Resumen</w:t>
      </w:r>
    </w:p>
    <w:p w14:paraId="0D9B7C37" w14:textId="185873D9" w:rsidR="00F21C01" w:rsidRPr="00F21C01" w:rsidRDefault="00F21C01" w:rsidP="00F21C01">
      <w:pPr>
        <w:jc w:val="both"/>
        <w:rPr>
          <w:rFonts w:ascii="Calibri" w:hAnsi="Calibri"/>
        </w:rPr>
      </w:pPr>
      <w:r w:rsidRPr="00F21C01">
        <w:rPr>
          <w:rFonts w:ascii="Calibri" w:hAnsi="Calibri"/>
        </w:rPr>
        <w:t>La tuberculosis multirresistente es un problema de salud cada vez mayor en todo el mundo, especialmente en los países en desarrollo. El ensayo PCR-UHG-Rif, que detecta mutaciones dentro del gen rpoB asociado con la resistencia a la rifampicina, se evaluó su capacidad y confiabilidad para detectar e identificar Mycobacterium tuberculosis resistente a los medicamentos en un país en desarrollo donde la tuberculosis es altamente endémica.</w:t>
      </w:r>
      <w:bookmarkStart w:id="0" w:name="_GoBack"/>
      <w:bookmarkEnd w:id="0"/>
    </w:p>
    <w:sectPr w:rsidR="00F21C01" w:rsidRPr="00F21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01"/>
    <w:rsid w:val="001F6175"/>
    <w:rsid w:val="00784727"/>
    <w:rsid w:val="00F2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E3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21C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21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21C0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21C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14662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JONATHAN</cp:lastModifiedBy>
  <cp:revision>3</cp:revision>
  <dcterms:created xsi:type="dcterms:W3CDTF">2020-06-02T10:57:00Z</dcterms:created>
  <dcterms:modified xsi:type="dcterms:W3CDTF">2020-06-05T17:55:00Z</dcterms:modified>
</cp:coreProperties>
</file>