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3725C" w14:textId="1865E701" w:rsidR="001C40E9" w:rsidRDefault="001C40E9" w:rsidP="001C40E9">
      <w:pPr>
        <w:spacing w:after="0"/>
        <w:rPr>
          <w:rFonts w:ascii="Calibri" w:hAnsi="Calibri" w:cs="Arial"/>
          <w:shd w:val="clear" w:color="auto" w:fill="FFFFFF"/>
        </w:rPr>
      </w:pPr>
      <w:bookmarkStart w:id="0" w:name="_GoBack"/>
      <w:bookmarkEnd w:id="0"/>
      <w:r w:rsidRPr="001C40E9">
        <w:rPr>
          <w:rFonts w:ascii="Calibri" w:hAnsi="Calibri" w:cs="Arial"/>
          <w:shd w:val="clear" w:color="auto" w:fill="FFFFFF"/>
        </w:rPr>
        <w:t>Moore DAJ, Coronel J, Gilman RH, Caviedes L, Friedland JS, Evans CA, Saravia J-C.</w:t>
      </w:r>
      <w:r w:rsidRPr="001C40E9">
        <w:rPr>
          <w:rFonts w:ascii="Calibri" w:hAnsi="Calibri" w:cs="Arial"/>
        </w:rPr>
        <w:br/>
      </w:r>
      <w:r w:rsidRPr="00BC55CC">
        <w:rPr>
          <w:rFonts w:ascii="Calibri" w:hAnsi="Calibri" w:cs="Arial"/>
          <w:u w:val="single"/>
          <w:bdr w:val="none" w:sz="0" w:space="0" w:color="auto" w:frame="1"/>
          <w:shd w:val="clear" w:color="auto" w:fill="FFFFFF"/>
        </w:rPr>
        <w:t>Detección rápida y sensible de Mycobacterium tuberculosis en el esputo: MODS (ensayo de susceptibilidad al fármaco de observación microscópica) supera el cultivo de Löwenstein-Jensen y MBBacT.</w:t>
      </w:r>
      <w:r w:rsidRPr="00BC55CC">
        <w:rPr>
          <w:rFonts w:ascii="Calibri" w:hAnsi="Calibri" w:cs="Arial"/>
        </w:rPr>
        <w:br/>
      </w:r>
      <w:r w:rsidRPr="00BC55CC">
        <w:rPr>
          <w:rFonts w:ascii="Calibri" w:hAnsi="Calibri" w:cs="Arial"/>
          <w:shd w:val="clear" w:color="auto" w:fill="FFFFFF"/>
        </w:rPr>
        <w:t>Presentación del póster PS-456-493, 1 de noviembre de 2004.</w:t>
      </w:r>
      <w:r w:rsidRPr="00BC55CC">
        <w:rPr>
          <w:rFonts w:ascii="Calibri" w:hAnsi="Calibri" w:cs="Arial"/>
        </w:rPr>
        <w:br/>
      </w:r>
      <w:r w:rsidRPr="00BC55CC">
        <w:rPr>
          <w:rStyle w:val="nfasis"/>
          <w:rFonts w:ascii="Calibri" w:hAnsi="Calibri" w:cs="Arial"/>
          <w:i w:val="0"/>
          <w:iCs w:val="0"/>
          <w:bdr w:val="none" w:sz="0" w:space="0" w:color="auto" w:frame="1"/>
          <w:shd w:val="clear" w:color="auto" w:fill="FFFFFF"/>
        </w:rPr>
        <w:t>En las Actas de la 35ª Conferencia Mundial sobre Salud Pulmonar de la Unión Internacional contra la Tuberculosis y la Enfermedad Pulmonar (La Unión): 28 de octubre al 1 de noviembre de 2004; París, Francia</w:t>
      </w:r>
      <w:r w:rsidRPr="00BC55CC">
        <w:rPr>
          <w:rFonts w:ascii="Calibri" w:hAnsi="Calibri" w:cs="Arial"/>
          <w:i/>
          <w:iCs/>
          <w:shd w:val="clear" w:color="auto" w:fill="FFFFFF"/>
        </w:rPr>
        <w:t>.</w:t>
      </w:r>
      <w:r w:rsidRPr="00BC55CC">
        <w:rPr>
          <w:rFonts w:ascii="Calibri" w:hAnsi="Calibri" w:cs="Arial"/>
        </w:rPr>
        <w:br/>
      </w:r>
      <w:r w:rsidRPr="001C40E9">
        <w:rPr>
          <w:rStyle w:val="nfasis"/>
          <w:rFonts w:ascii="Calibri" w:hAnsi="Calibri" w:cs="Arial"/>
          <w:bdr w:val="none" w:sz="0" w:space="0" w:color="auto" w:frame="1"/>
          <w:shd w:val="clear" w:color="auto" w:fill="FFFFFF"/>
        </w:rPr>
        <w:t>International Journal of Tuberculosis and Lung Disease</w:t>
      </w:r>
      <w:r w:rsidRPr="001C40E9">
        <w:rPr>
          <w:rFonts w:ascii="Calibri" w:hAnsi="Calibri" w:cs="Arial"/>
          <w:shd w:val="clear" w:color="auto" w:fill="FFFFFF"/>
        </w:rPr>
        <w:t> 2004;8(11 Suppl 1):S190-191</w:t>
      </w:r>
      <w:r w:rsidRPr="001C40E9">
        <w:rPr>
          <w:rFonts w:ascii="Calibri" w:hAnsi="Calibri" w:cs="Arial"/>
        </w:rPr>
        <w:br/>
      </w:r>
      <w:r>
        <w:rPr>
          <w:rFonts w:ascii="Calibri" w:hAnsi="Calibri" w:cs="Arial"/>
          <w:shd w:val="clear" w:color="auto" w:fill="FFFFFF"/>
        </w:rPr>
        <w:t>Acceso abierto</w:t>
      </w:r>
      <w:r w:rsidRPr="001C40E9">
        <w:rPr>
          <w:rFonts w:ascii="Calibri" w:hAnsi="Calibri" w:cs="Arial"/>
          <w:shd w:val="clear" w:color="auto" w:fill="FFFFFF"/>
        </w:rPr>
        <w:t>: </w:t>
      </w:r>
    </w:p>
    <w:p w14:paraId="5B7F7965" w14:textId="0E52B8F9" w:rsidR="001C40E9" w:rsidRDefault="00BC55CC" w:rsidP="001C40E9">
      <w:pPr>
        <w:spacing w:after="0"/>
        <w:rPr>
          <w:rFonts w:ascii="Calibri" w:hAnsi="Calibri" w:cs="Arial"/>
          <w:bdr w:val="none" w:sz="0" w:space="0" w:color="auto" w:frame="1"/>
          <w:shd w:val="clear" w:color="auto" w:fill="FFFFFF"/>
        </w:rPr>
      </w:pPr>
      <w:hyperlink r:id="rId4" w:history="1">
        <w:r w:rsidR="001C40E9" w:rsidRPr="00366A99">
          <w:rPr>
            <w:rStyle w:val="Hipervnculo"/>
            <w:rFonts w:ascii="Calibri" w:hAnsi="Calibri" w:cs="Arial"/>
            <w:bdr w:val="none" w:sz="0" w:space="0" w:color="auto" w:frame="1"/>
            <w:shd w:val="clear" w:color="auto" w:fill="FFFFFF"/>
          </w:rPr>
          <w:t>https://www.theunion.org/what-we-do/journals/ijtld/body/Abstract_Book_2004.pdf</w:t>
        </w:r>
      </w:hyperlink>
    </w:p>
    <w:p w14:paraId="168EE5E7" w14:textId="411A5F96" w:rsidR="00B73024" w:rsidRDefault="00B73024" w:rsidP="001C40E9">
      <w:pPr>
        <w:spacing w:after="0"/>
        <w:rPr>
          <w:rFonts w:ascii="Calibri" w:hAnsi="Calibri" w:cs="Arial"/>
          <w:bdr w:val="none" w:sz="0" w:space="0" w:color="auto" w:frame="1"/>
          <w:shd w:val="clear" w:color="auto" w:fill="FFFFFF"/>
        </w:rPr>
      </w:pPr>
    </w:p>
    <w:p w14:paraId="2BD1CA72" w14:textId="77777777" w:rsidR="00B73024" w:rsidRDefault="00B73024" w:rsidP="001C40E9">
      <w:pPr>
        <w:spacing w:after="0"/>
        <w:rPr>
          <w:rFonts w:ascii="Calibri" w:hAnsi="Calibri" w:cs="Arial"/>
          <w:bdr w:val="none" w:sz="0" w:space="0" w:color="auto" w:frame="1"/>
          <w:shd w:val="clear" w:color="auto" w:fill="FFFFFF"/>
        </w:rPr>
      </w:pPr>
    </w:p>
    <w:p w14:paraId="4D8C68D3" w14:textId="77777777" w:rsidR="00B73024" w:rsidRPr="00BC55CC" w:rsidRDefault="00B73024" w:rsidP="00B73024">
      <w:pPr>
        <w:spacing w:after="0"/>
        <w:jc w:val="both"/>
        <w:rPr>
          <w:rFonts w:ascii="Calibri" w:hAnsi="Calibri"/>
        </w:rPr>
      </w:pPr>
      <w:r w:rsidRPr="00BC55CC">
        <w:rPr>
          <w:rFonts w:ascii="Arial" w:hAnsi="Arial" w:cs="Arial"/>
          <w:b/>
          <w:bCs/>
        </w:rPr>
        <w:t>Introducción</w:t>
      </w:r>
      <w:r w:rsidRPr="00BC55CC">
        <w:rPr>
          <w:rFonts w:ascii="Calibri" w:hAnsi="Calibri"/>
        </w:rPr>
        <w:t>: La tasa global de detección de casos con baciloscopia positiva del 37% exige el fortalecimiento de la estrategia DOTS e ignora la detección de casos con baciloscopia considerablemente más baja y el 20% de la transmisión atribuible a la enfermedad con baciloscopia negativa. Se ha demostrado la detección rápida y sensible de M. tuberculosis con el ensayo de susceptibilidad al fármaco de observación microscópica (MODS) en poblaciones seleccionadas.</w:t>
      </w:r>
    </w:p>
    <w:p w14:paraId="1E9E55EC" w14:textId="77777777" w:rsidR="00B73024" w:rsidRPr="00BC55CC" w:rsidRDefault="00B73024" w:rsidP="00B73024">
      <w:pPr>
        <w:spacing w:after="0"/>
        <w:jc w:val="both"/>
        <w:rPr>
          <w:rFonts w:ascii="Calibri" w:hAnsi="Calibri"/>
        </w:rPr>
      </w:pPr>
    </w:p>
    <w:p w14:paraId="3B530E75" w14:textId="5B0A9BD4" w:rsidR="00B73024" w:rsidRPr="00BC55CC" w:rsidRDefault="00B73024" w:rsidP="00B73024">
      <w:pPr>
        <w:spacing w:after="0"/>
        <w:jc w:val="both"/>
        <w:rPr>
          <w:rFonts w:ascii="Calibri" w:hAnsi="Calibri"/>
        </w:rPr>
      </w:pPr>
      <w:r w:rsidRPr="00BC55CC">
        <w:rPr>
          <w:rFonts w:ascii="Arial" w:hAnsi="Arial" w:cs="Arial"/>
          <w:b/>
          <w:bCs/>
        </w:rPr>
        <w:t>Objetivos</w:t>
      </w:r>
      <w:r w:rsidRPr="00BC55CC">
        <w:rPr>
          <w:rFonts w:ascii="Calibri" w:hAnsi="Calibri"/>
          <w:b/>
          <w:bCs/>
        </w:rPr>
        <w:t>:</w:t>
      </w:r>
      <w:r w:rsidRPr="00BC55CC">
        <w:rPr>
          <w:rFonts w:ascii="Calibri" w:hAnsi="Calibri"/>
        </w:rPr>
        <w:t xml:space="preserve"> </w:t>
      </w:r>
      <w:r w:rsidR="009930C5" w:rsidRPr="00BC55CC">
        <w:rPr>
          <w:rFonts w:ascii="Calibri" w:hAnsi="Calibri"/>
        </w:rPr>
        <w:t>L</w:t>
      </w:r>
      <w:r w:rsidRPr="00BC55CC">
        <w:rPr>
          <w:rFonts w:ascii="Calibri" w:hAnsi="Calibri"/>
        </w:rPr>
        <w:t>levar a cabo una comparación prospectiva entre los sospechosos de TB del rendimiento (sensibilidad de detección y tiempo para la positividad del cultivo) de MODS frente a los estándares de oro gemelos del cultivo en Löwenstein-Jensen y el cultivo MBBacT automatizado.</w:t>
      </w:r>
    </w:p>
    <w:p w14:paraId="7C5E8288" w14:textId="77777777" w:rsidR="00B73024" w:rsidRPr="00BC55CC" w:rsidRDefault="00B73024" w:rsidP="00B73024">
      <w:pPr>
        <w:spacing w:after="0"/>
        <w:jc w:val="both"/>
        <w:rPr>
          <w:rFonts w:ascii="Calibri" w:hAnsi="Calibri"/>
        </w:rPr>
      </w:pPr>
    </w:p>
    <w:p w14:paraId="50C2880D" w14:textId="0700241A" w:rsidR="00B73024" w:rsidRPr="00BC55CC" w:rsidRDefault="00B73024" w:rsidP="00B73024">
      <w:pPr>
        <w:spacing w:after="0"/>
        <w:jc w:val="both"/>
        <w:rPr>
          <w:rFonts w:ascii="Calibri" w:hAnsi="Calibri"/>
        </w:rPr>
      </w:pPr>
      <w:r w:rsidRPr="00BC55CC">
        <w:rPr>
          <w:rFonts w:ascii="Arial" w:hAnsi="Arial" w:cs="Arial"/>
          <w:b/>
          <w:bCs/>
        </w:rPr>
        <w:t>Métodos</w:t>
      </w:r>
      <w:r w:rsidRPr="00BC55CC">
        <w:rPr>
          <w:rFonts w:ascii="Calibri" w:hAnsi="Calibri"/>
        </w:rPr>
        <w:t xml:space="preserve">: </w:t>
      </w:r>
      <w:r w:rsidR="009930C5" w:rsidRPr="00BC55CC">
        <w:rPr>
          <w:rFonts w:ascii="Calibri" w:hAnsi="Calibri"/>
        </w:rPr>
        <w:t>E</w:t>
      </w:r>
      <w:r w:rsidRPr="00BC55CC">
        <w:rPr>
          <w:rFonts w:ascii="Calibri" w:hAnsi="Calibri"/>
        </w:rPr>
        <w:t>n una evaluación operativa en la zona urbana de Lima, se obtienen muestras de esputo de pacientes que consienten en los laboratorios del Programa Nacional de TB después de la realización del frotis de esputo de rutina, se descontaminan y se cultivan en paralelo en MODS, LöwensteinJensen y MBBacT.</w:t>
      </w:r>
    </w:p>
    <w:p w14:paraId="51EA433F" w14:textId="77777777" w:rsidR="00B73024" w:rsidRPr="00BC55CC" w:rsidRDefault="00B73024" w:rsidP="00B73024">
      <w:pPr>
        <w:spacing w:after="0"/>
        <w:jc w:val="both"/>
        <w:rPr>
          <w:rFonts w:ascii="Calibri" w:hAnsi="Calibri"/>
        </w:rPr>
      </w:pPr>
    </w:p>
    <w:p w14:paraId="01EE2A29" w14:textId="59542D61" w:rsidR="00B73024" w:rsidRPr="00BC55CC" w:rsidRDefault="00B73024" w:rsidP="00B73024">
      <w:pPr>
        <w:spacing w:after="0"/>
        <w:jc w:val="both"/>
        <w:rPr>
          <w:rFonts w:ascii="Calibri" w:hAnsi="Calibri"/>
        </w:rPr>
      </w:pPr>
      <w:r w:rsidRPr="00BC55CC">
        <w:rPr>
          <w:rFonts w:ascii="Arial" w:hAnsi="Arial" w:cs="Arial"/>
          <w:b/>
          <w:bCs/>
        </w:rPr>
        <w:t>Resultados</w:t>
      </w:r>
      <w:r w:rsidRPr="00BC55CC">
        <w:rPr>
          <w:rFonts w:ascii="Calibri" w:hAnsi="Calibri"/>
          <w:b/>
          <w:bCs/>
        </w:rPr>
        <w:t>:</w:t>
      </w:r>
      <w:r w:rsidRPr="00BC55CC">
        <w:rPr>
          <w:rFonts w:ascii="Calibri" w:hAnsi="Calibri"/>
        </w:rPr>
        <w:t xml:space="preserve"> 102 de 1146 muestras de esputo fueron positivas para M. tuberculosis por al menos un método. Las sensibilidades de detección (denominador 5 número total de cultivos positivos) fueron 79.5%, 87% y 95% para LJ, MBBacT y MODS respectivamente (P</w:t>
      </w:r>
      <w:r w:rsidR="00496D56" w:rsidRPr="00BC55CC">
        <w:rPr>
          <w:rFonts w:ascii="Calibri" w:hAnsi="Calibri"/>
        </w:rPr>
        <w:t>&lt;</w:t>
      </w:r>
      <w:r w:rsidRPr="00BC55CC">
        <w:rPr>
          <w:rFonts w:ascii="Calibri" w:hAnsi="Calibri"/>
        </w:rPr>
        <w:t>0.01). Los tiempos medios para la positividad del cultivo fueron 16, 12 y 8 días respectivamente (P</w:t>
      </w:r>
      <w:r w:rsidR="00496D56" w:rsidRPr="00BC55CC">
        <w:rPr>
          <w:rFonts w:ascii="Calibri" w:hAnsi="Calibri"/>
        </w:rPr>
        <w:t>&lt;</w:t>
      </w:r>
      <w:r w:rsidRPr="00BC55CC">
        <w:rPr>
          <w:rFonts w:ascii="Calibri" w:hAnsi="Calibri"/>
        </w:rPr>
        <w:t xml:space="preserve">0.01). </w:t>
      </w:r>
    </w:p>
    <w:p w14:paraId="69F397FB" w14:textId="77777777" w:rsidR="00B73024" w:rsidRPr="00BC55CC" w:rsidRDefault="00B73024" w:rsidP="00B73024">
      <w:pPr>
        <w:spacing w:after="0"/>
        <w:jc w:val="both"/>
        <w:rPr>
          <w:rFonts w:ascii="Calibri" w:hAnsi="Calibri"/>
        </w:rPr>
      </w:pPr>
    </w:p>
    <w:p w14:paraId="1144B1FD" w14:textId="28D40C96" w:rsidR="00B73024" w:rsidRPr="00BC55CC" w:rsidRDefault="00B73024" w:rsidP="00B73024">
      <w:pPr>
        <w:spacing w:after="0"/>
        <w:jc w:val="both"/>
        <w:rPr>
          <w:rFonts w:ascii="Calibri" w:hAnsi="Calibri"/>
        </w:rPr>
      </w:pPr>
      <w:r w:rsidRPr="00BC55CC">
        <w:rPr>
          <w:rFonts w:ascii="Arial" w:hAnsi="Arial" w:cs="Arial"/>
          <w:b/>
          <w:bCs/>
        </w:rPr>
        <w:t>Conclusiones</w:t>
      </w:r>
      <w:r w:rsidRPr="00BC55CC">
        <w:rPr>
          <w:rFonts w:ascii="Calibri" w:hAnsi="Calibri"/>
          <w:b/>
          <w:bCs/>
        </w:rPr>
        <w:t>:</w:t>
      </w:r>
      <w:r w:rsidRPr="00BC55CC">
        <w:rPr>
          <w:rFonts w:ascii="Calibri" w:hAnsi="Calibri"/>
        </w:rPr>
        <w:t xml:space="preserve"> Para la detección de M. tuberculosis a partir de las mismas muestras clínicas, MODS tiene una sensibilidad notablemente superior y es significativamente más rápido que el cultivo LJ o MBBacT.</w:t>
      </w:r>
    </w:p>
    <w:sectPr w:rsidR="00B73024" w:rsidRPr="00BC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E9"/>
    <w:rsid w:val="001C40E9"/>
    <w:rsid w:val="00496D56"/>
    <w:rsid w:val="009930C5"/>
    <w:rsid w:val="00B73024"/>
    <w:rsid w:val="00BC5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40A7"/>
  <w15:chartTrackingRefBased/>
  <w15:docId w15:val="{97392BF5-D1BA-4031-BE57-69E19D0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C40E9"/>
    <w:rPr>
      <w:i/>
      <w:iCs/>
    </w:rPr>
  </w:style>
  <w:style w:type="character" w:styleId="Hipervnculo">
    <w:name w:val="Hyperlink"/>
    <w:basedOn w:val="Fuentedeprrafopredeter"/>
    <w:uiPriority w:val="99"/>
    <w:unhideWhenUsed/>
    <w:rsid w:val="001C40E9"/>
    <w:rPr>
      <w:color w:val="0000FF"/>
      <w:u w:val="single"/>
    </w:rPr>
  </w:style>
  <w:style w:type="paragraph" w:styleId="Textodeglobo">
    <w:name w:val="Balloon Text"/>
    <w:basedOn w:val="Normal"/>
    <w:link w:val="TextodegloboCar"/>
    <w:uiPriority w:val="99"/>
    <w:semiHidden/>
    <w:unhideWhenUsed/>
    <w:rsid w:val="001C40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0E9"/>
    <w:rPr>
      <w:rFonts w:ascii="Segoe UI" w:hAnsi="Segoe UI" w:cs="Segoe UI"/>
      <w:sz w:val="18"/>
      <w:szCs w:val="18"/>
    </w:rPr>
  </w:style>
  <w:style w:type="character" w:customStyle="1" w:styleId="UnresolvedMention">
    <w:name w:val="Unresolved Mention"/>
    <w:basedOn w:val="Fuentedeprrafopredeter"/>
    <w:uiPriority w:val="99"/>
    <w:semiHidden/>
    <w:unhideWhenUsed/>
    <w:rsid w:val="001C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2020-06-03T14:49:00Z</dcterms:created>
  <dcterms:modified xsi:type="dcterms:W3CDTF">2020-06-08T20:37:00Z</dcterms:modified>
</cp:coreProperties>
</file>