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BAA2" w14:textId="71C974AB" w:rsidR="00A26D03" w:rsidRPr="00A26D03" w:rsidRDefault="00A26D03" w:rsidP="00A26D03">
      <w:pPr>
        <w:spacing w:after="0"/>
        <w:rPr>
          <w:rFonts w:ascii="Calibri" w:hAnsi="Calibri" w:cs="Arial"/>
          <w:shd w:val="clear" w:color="auto" w:fill="FFFFFF"/>
        </w:rPr>
      </w:pPr>
      <w:r w:rsidRPr="00A26D03">
        <w:rPr>
          <w:rFonts w:ascii="Calibri" w:hAnsi="Calibri" w:cs="Arial"/>
          <w:shd w:val="clear" w:color="auto" w:fill="FFFFFF"/>
        </w:rPr>
        <w:t>Onifade DA, Bayer A, Surey J, Montoya R, Haro M, Alva J, Franco J, Sosa R, Valiente B, Valera E, Ford C, Acosta C, Zevallos K, Schumacher SG, Evans CA.</w:t>
      </w:r>
      <w:r w:rsidRPr="00A26D03">
        <w:rPr>
          <w:rFonts w:ascii="Calibri" w:hAnsi="Calibri" w:cs="Arial"/>
        </w:rPr>
        <w:br/>
      </w:r>
      <w:r w:rsidRPr="00A26D03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Un estudio de obstáculos y oportunidades para la equidad de género en el control de la tuberculosis.</w:t>
      </w:r>
      <w:r w:rsidRPr="00A26D03">
        <w:rPr>
          <w:rFonts w:ascii="Calibri" w:hAnsi="Calibri" w:cs="Arial"/>
        </w:rPr>
        <w:br/>
      </w:r>
      <w:r w:rsidRPr="00A26D03">
        <w:rPr>
          <w:rFonts w:ascii="Calibri" w:hAnsi="Calibri" w:cs="Arial"/>
          <w:shd w:val="clear" w:color="auto" w:fill="FFFFFF"/>
        </w:rPr>
        <w:t>Premio de becas de última hora en la presentación de discusión de póster de medicina tropical clínica (Resumen 2975), 20 de noviembre de 2009.</w:t>
      </w:r>
    </w:p>
    <w:p w14:paraId="0E9DC99F" w14:textId="77777777" w:rsidR="00A26D03" w:rsidRDefault="00A26D03" w:rsidP="00A26D03">
      <w:pPr>
        <w:spacing w:after="0"/>
        <w:rPr>
          <w:rFonts w:ascii="Calibri" w:hAnsi="Calibri" w:cs="Arial"/>
          <w:shd w:val="clear" w:color="auto" w:fill="FFFFFF"/>
        </w:rPr>
      </w:pPr>
      <w:r w:rsidRPr="00A26D03">
        <w:rPr>
          <w:rFonts w:ascii="Calibri" w:hAnsi="Calibri" w:cs="Arial"/>
          <w:shd w:val="clear" w:color="auto" w:fill="FFFFFF"/>
        </w:rPr>
        <w:t>En las Actas de la 58ª Reunión Anual de la Sociedad Americana de Medicina e Higiene Tropical (ASTMH): 18-22 de noviembre de 2009; Washington DC, Estados Unidos.</w:t>
      </w:r>
      <w:r w:rsidRPr="00A26D03">
        <w:rPr>
          <w:rFonts w:ascii="Calibri" w:hAnsi="Calibri" w:cs="Arial"/>
        </w:rPr>
        <w:br/>
      </w:r>
      <w:r>
        <w:rPr>
          <w:rFonts w:ascii="Calibri" w:hAnsi="Calibri" w:cs="Arial"/>
          <w:shd w:val="clear" w:color="auto" w:fill="FFFFFF"/>
        </w:rPr>
        <w:t>Acceso abierto</w:t>
      </w:r>
      <w:r w:rsidRPr="00A26D03">
        <w:rPr>
          <w:rFonts w:ascii="Calibri" w:hAnsi="Calibri" w:cs="Arial"/>
          <w:shd w:val="clear" w:color="auto" w:fill="FFFFFF"/>
        </w:rPr>
        <w:t>: </w:t>
      </w:r>
    </w:p>
    <w:p w14:paraId="59D0374C" w14:textId="38D9DE08" w:rsidR="00A26D03" w:rsidRDefault="00A14369" w:rsidP="00361A32">
      <w:pPr>
        <w:spacing w:after="0"/>
      </w:pPr>
      <w:hyperlink r:id="rId4" w:history="1">
        <w:r w:rsidR="00361A32">
          <w:rPr>
            <w:rStyle w:val="Hipervnculo"/>
          </w:rPr>
          <w:t>https://www.astmh.org/aSTMH/media/Documents/LateBreakerAbstractText.pdf</w:t>
        </w:r>
      </w:hyperlink>
    </w:p>
    <w:p w14:paraId="1927B479" w14:textId="29988B85" w:rsidR="00361A32" w:rsidRDefault="00361A32" w:rsidP="00361A32">
      <w:pPr>
        <w:spacing w:after="0"/>
      </w:pPr>
    </w:p>
    <w:p w14:paraId="5C2D2822" w14:textId="77777777" w:rsidR="00361A32" w:rsidRDefault="00361A32" w:rsidP="00361A32">
      <w:pPr>
        <w:spacing w:after="0"/>
      </w:pPr>
    </w:p>
    <w:p w14:paraId="5C37DD92" w14:textId="77777777" w:rsidR="00361A32" w:rsidRPr="00361A32" w:rsidRDefault="00361A32" w:rsidP="00361A32">
      <w:pPr>
        <w:spacing w:after="0"/>
        <w:jc w:val="both"/>
        <w:rPr>
          <w:rFonts w:ascii="Calibri" w:hAnsi="Calibri"/>
        </w:rPr>
      </w:pPr>
      <w:r w:rsidRPr="00361A32">
        <w:rPr>
          <w:rFonts w:ascii="Arial" w:hAnsi="Arial" w:cs="Arial"/>
          <w:b/>
          <w:bCs/>
        </w:rPr>
        <w:t>Antecedentes.</w:t>
      </w:r>
      <w:r w:rsidRPr="00361A32">
        <w:rPr>
          <w:rFonts w:ascii="Calibri" w:hAnsi="Calibri"/>
        </w:rPr>
        <w:t xml:space="preserve"> El género femenino puede estar asociado con una menor probabilidad de diagnóstico de TB y un tratamiento exitoso, por lo que caracterizamos las barreras relacionadas con el género para el control de la TB.</w:t>
      </w:r>
    </w:p>
    <w:p w14:paraId="663C1A81" w14:textId="77777777" w:rsidR="00361A32" w:rsidRPr="00361A32" w:rsidRDefault="00361A32" w:rsidP="00361A32">
      <w:pPr>
        <w:spacing w:after="0"/>
        <w:jc w:val="both"/>
        <w:rPr>
          <w:rFonts w:ascii="Calibri" w:hAnsi="Calibri"/>
        </w:rPr>
      </w:pPr>
    </w:p>
    <w:p w14:paraId="134111D4" w14:textId="49DA4D31" w:rsidR="00361A32" w:rsidRPr="00361A32" w:rsidRDefault="00361A32" w:rsidP="00361A32">
      <w:pPr>
        <w:spacing w:after="0"/>
        <w:jc w:val="both"/>
        <w:rPr>
          <w:rFonts w:ascii="Calibri" w:hAnsi="Calibri"/>
        </w:rPr>
      </w:pPr>
      <w:r w:rsidRPr="00361A32">
        <w:rPr>
          <w:rFonts w:ascii="Calibri" w:hAnsi="Calibri"/>
          <w:b/>
          <w:bCs/>
        </w:rPr>
        <w:t>Métodos.</w:t>
      </w:r>
      <w:r w:rsidRPr="00361A32">
        <w:rPr>
          <w:rFonts w:ascii="Calibri" w:hAnsi="Calibri"/>
        </w:rPr>
        <w:t xml:space="preserve"> Investigamos experiencias y actitudes relacionadas con el género con respecto a la tuberculosis en 17 barrios marginales cerca de Lima, Perú. Epidemiológico</w:t>
      </w:r>
      <w:r>
        <w:rPr>
          <w:rFonts w:ascii="Calibri" w:hAnsi="Calibri"/>
        </w:rPr>
        <w:t xml:space="preserve"> e</w:t>
      </w:r>
      <w:r w:rsidRPr="00361A32">
        <w:rPr>
          <w:rFonts w:ascii="Calibri" w:hAnsi="Calibri"/>
        </w:rPr>
        <w:t xml:space="preserve">l análisis caracterizó las diferencias de género relacionadas con la tuberculosis. Luego se investigaron utilizando el enfoque de la teoría fundamentada entre los </w:t>
      </w:r>
      <w:r>
        <w:rPr>
          <w:rFonts w:ascii="Calibri" w:hAnsi="Calibri"/>
        </w:rPr>
        <w:t>principals p</w:t>
      </w:r>
      <w:r w:rsidRPr="00361A32">
        <w:rPr>
          <w:rFonts w:ascii="Calibri" w:hAnsi="Calibri"/>
        </w:rPr>
        <w:t>artes interesadas en el control de la tuberculosis en 22 entrevistas semiestructuradas y en 4 discusiones de grupos focales con 26 pacientes con tuberculosis y 17 atención médica</w:t>
      </w:r>
      <w:r>
        <w:rPr>
          <w:rFonts w:ascii="Calibri" w:hAnsi="Calibri"/>
        </w:rPr>
        <w:t xml:space="preserve"> </w:t>
      </w:r>
      <w:r w:rsidRPr="00361A32">
        <w:rPr>
          <w:rFonts w:ascii="Calibri" w:hAnsi="Calibri"/>
        </w:rPr>
        <w:t>trabajadores</w:t>
      </w:r>
    </w:p>
    <w:p w14:paraId="4255B60D" w14:textId="77777777" w:rsidR="00361A32" w:rsidRPr="00361A32" w:rsidRDefault="00361A32" w:rsidP="00361A32">
      <w:pPr>
        <w:spacing w:after="0"/>
        <w:jc w:val="both"/>
        <w:rPr>
          <w:rFonts w:ascii="Calibri" w:hAnsi="Calibri"/>
        </w:rPr>
      </w:pPr>
    </w:p>
    <w:p w14:paraId="237870F3" w14:textId="0890E351" w:rsidR="00361A32" w:rsidRPr="00361A32" w:rsidRDefault="00361A32" w:rsidP="00361A32">
      <w:pPr>
        <w:spacing w:after="0"/>
        <w:jc w:val="both"/>
        <w:rPr>
          <w:rFonts w:ascii="Calibri" w:hAnsi="Calibri"/>
        </w:rPr>
      </w:pPr>
      <w:r w:rsidRPr="00361A32">
        <w:rPr>
          <w:rFonts w:ascii="Arial" w:hAnsi="Arial" w:cs="Arial"/>
          <w:b/>
          <w:bCs/>
        </w:rPr>
        <w:t>Resultados</w:t>
      </w:r>
      <w:r w:rsidRPr="00361A32">
        <w:rPr>
          <w:rFonts w:ascii="Arial" w:hAnsi="Arial" w:cs="Arial"/>
        </w:rPr>
        <w:t>.</w:t>
      </w:r>
      <w:r w:rsidRPr="00361A32">
        <w:rPr>
          <w:rFonts w:ascii="Calibri" w:hAnsi="Calibri"/>
        </w:rPr>
        <w:t xml:space="preserve"> Detectamos activamente a 3599 personas muy expuestas a la TB y diagnosticamos la enfermedad de TB en 141 de ellas, con una frecuencia similar en</w:t>
      </w:r>
      <w:r>
        <w:rPr>
          <w:rFonts w:ascii="Calibri" w:hAnsi="Calibri"/>
        </w:rPr>
        <w:t xml:space="preserve"> </w:t>
      </w:r>
      <w:r w:rsidRPr="00361A32">
        <w:rPr>
          <w:rFonts w:ascii="Calibri" w:hAnsi="Calibri"/>
        </w:rPr>
        <w:t>ambos sexos (51% mujeres). En contraste, el hallazgo pasivo estándar de casos diagnosticó menos mujeres (40% de 1259 pacientes; P &lt;0.01). En</w:t>
      </w:r>
      <w:r>
        <w:rPr>
          <w:rFonts w:ascii="Calibri" w:hAnsi="Calibri"/>
        </w:rPr>
        <w:t xml:space="preserve"> </w:t>
      </w:r>
      <w:r w:rsidRPr="00361A32">
        <w:rPr>
          <w:rFonts w:ascii="Calibri" w:hAnsi="Calibri"/>
        </w:rPr>
        <w:t>otro barrio marginal, la adherencia a la terapia de TB en 262 pacientes tenía más probabilidades de ser interrumpida en las mujeres (odds ratio ajustado 6.7;</w:t>
      </w:r>
      <w:r>
        <w:rPr>
          <w:rFonts w:ascii="Calibri" w:hAnsi="Calibri"/>
        </w:rPr>
        <w:t xml:space="preserve"> </w:t>
      </w:r>
      <w:r w:rsidRPr="00361A32">
        <w:rPr>
          <w:rFonts w:ascii="Calibri" w:hAnsi="Calibri"/>
        </w:rPr>
        <w:t>P = 0,02). A pesar de estas desigualdades de género relacionadas con la tuberculosis, en los estudios cualitativos se percibió que el programa de tuberculosis no era de género</w:t>
      </w:r>
      <w:r>
        <w:rPr>
          <w:rFonts w:ascii="Calibri" w:hAnsi="Calibri"/>
        </w:rPr>
        <w:t xml:space="preserve"> </w:t>
      </w:r>
      <w:r w:rsidRPr="00361A32">
        <w:rPr>
          <w:rFonts w:ascii="Calibri" w:hAnsi="Calibri"/>
        </w:rPr>
        <w:t>discriminatorio y para brindar atención equitativa contra la tuberculosis a hombres y mujeres. Esto contrasta con los roles de género estereotipados y con frecuencia</w:t>
      </w:r>
      <w:r>
        <w:rPr>
          <w:rFonts w:ascii="Calibri" w:hAnsi="Calibri"/>
        </w:rPr>
        <w:t xml:space="preserve"> e</w:t>
      </w:r>
      <w:r w:rsidRPr="00361A32">
        <w:rPr>
          <w:rFonts w:ascii="Calibri" w:hAnsi="Calibri"/>
        </w:rPr>
        <w:t>xpresó la creencia entre los pacientes y los trabajadores de la salud de que la salud femenina tiene una prioridad menor que la salud masculina. Esta</w:t>
      </w:r>
      <w:r>
        <w:rPr>
          <w:rFonts w:ascii="Calibri" w:hAnsi="Calibri"/>
        </w:rPr>
        <w:t xml:space="preserve"> l</w:t>
      </w:r>
      <w:r w:rsidRPr="00361A32">
        <w:rPr>
          <w:rFonts w:ascii="Calibri" w:hAnsi="Calibri"/>
        </w:rPr>
        <w:t>a creencia se asoció principalmente con el papel predominante de los hombres en la economía doméstica y el empleo limitado de las mujeres en este</w:t>
      </w:r>
      <w:r>
        <w:rPr>
          <w:rFonts w:ascii="Calibri" w:hAnsi="Calibri"/>
        </w:rPr>
        <w:t xml:space="preserve"> </w:t>
      </w:r>
      <w:r w:rsidRPr="00361A32">
        <w:rPr>
          <w:rFonts w:ascii="Calibri" w:hAnsi="Calibri"/>
        </w:rPr>
        <w:t>ajuste. En general, también se informó que las mujeres experimentaron las consecuencias psicológicas y económicas adversas de la tuberculosis más de</w:t>
      </w:r>
      <w:r>
        <w:rPr>
          <w:rFonts w:ascii="Calibri" w:hAnsi="Calibri"/>
        </w:rPr>
        <w:t xml:space="preserve"> </w:t>
      </w:r>
      <w:r w:rsidRPr="00361A32">
        <w:rPr>
          <w:rFonts w:ascii="Calibri" w:hAnsi="Calibri"/>
        </w:rPr>
        <w:t>hombres.</w:t>
      </w:r>
    </w:p>
    <w:p w14:paraId="5E91D206" w14:textId="77777777" w:rsidR="00361A32" w:rsidRPr="00361A32" w:rsidRDefault="00361A32" w:rsidP="00361A32">
      <w:pPr>
        <w:spacing w:after="0"/>
        <w:jc w:val="both"/>
        <w:rPr>
          <w:rFonts w:ascii="Calibri" w:hAnsi="Calibri"/>
        </w:rPr>
      </w:pPr>
    </w:p>
    <w:p w14:paraId="64CB6B52" w14:textId="330A34CE" w:rsidR="00361A32" w:rsidRPr="00A26D03" w:rsidRDefault="00361A32" w:rsidP="00361A32">
      <w:pPr>
        <w:spacing w:after="0"/>
        <w:jc w:val="both"/>
        <w:rPr>
          <w:rFonts w:ascii="Calibri" w:hAnsi="Calibri"/>
        </w:rPr>
      </w:pPr>
      <w:r w:rsidRPr="00361A32">
        <w:rPr>
          <w:rFonts w:ascii="Arial" w:hAnsi="Arial" w:cs="Arial"/>
          <w:b/>
          <w:bCs/>
        </w:rPr>
        <w:t>Conclusiones.</w:t>
      </w:r>
      <w:r w:rsidRPr="00361A32">
        <w:rPr>
          <w:rFonts w:ascii="Calibri" w:hAnsi="Calibri"/>
        </w:rPr>
        <w:t xml:space="preserve"> Mujeres con diagnóstico de tuberculosis pasivo estándar con diagnóstico insuficiente, que también eran más propensas a sufrir interrupciones del tratamiento</w:t>
      </w:r>
      <w:r>
        <w:rPr>
          <w:rFonts w:ascii="Calibri" w:hAnsi="Calibri"/>
        </w:rPr>
        <w:t xml:space="preserve"> e</w:t>
      </w:r>
      <w:r w:rsidRPr="00361A32">
        <w:rPr>
          <w:rFonts w:ascii="Calibri" w:hAnsi="Calibri"/>
        </w:rPr>
        <w:t>sta desigualdad de género se asoció con una percepción común de que la atención de la TB a las mujeres era de importancia secundaria a la de los hombres</w:t>
      </w:r>
      <w:r>
        <w:rPr>
          <w:rFonts w:ascii="Calibri" w:hAnsi="Calibri"/>
        </w:rPr>
        <w:t xml:space="preserve">. </w:t>
      </w:r>
      <w:r w:rsidRPr="00361A32">
        <w:rPr>
          <w:rFonts w:ascii="Calibri" w:hAnsi="Calibri"/>
        </w:rPr>
        <w:t xml:space="preserve">Esto refleja los valores sociales de género y fue a pesar de la aparente igualdad de género en la </w:t>
      </w:r>
      <w:bookmarkStart w:id="0" w:name="_GoBack"/>
      <w:bookmarkEnd w:id="0"/>
      <w:r w:rsidRPr="00361A32">
        <w:rPr>
          <w:rFonts w:ascii="Calibri" w:hAnsi="Calibri"/>
        </w:rPr>
        <w:t>prestación de atención. Las mayores oportunidades para</w:t>
      </w:r>
      <w:r>
        <w:rPr>
          <w:rFonts w:ascii="Calibri" w:hAnsi="Calibri"/>
        </w:rPr>
        <w:t xml:space="preserve"> </w:t>
      </w:r>
      <w:r w:rsidRPr="00361A32">
        <w:rPr>
          <w:rFonts w:ascii="Calibri" w:hAnsi="Calibri"/>
        </w:rPr>
        <w:t>mejorar la atención de la TB a las mujeres parece estar en mejorar las estructuras sociales, políticas y económicas, más que la modificación del programa de TB.</w:t>
      </w:r>
    </w:p>
    <w:sectPr w:rsidR="00361A32" w:rsidRPr="00A26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03"/>
    <w:rsid w:val="00361A32"/>
    <w:rsid w:val="0078644D"/>
    <w:rsid w:val="00A14369"/>
    <w:rsid w:val="00A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DD672"/>
  <w15:chartTrackingRefBased/>
  <w15:docId w15:val="{625232A0-AE8F-49ED-B0DC-38145362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26D0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26D0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6D0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tmh.org/aSTMH/media/Documents/LateBreakerAbstractTex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4</cp:revision>
  <dcterms:created xsi:type="dcterms:W3CDTF">2020-06-03T09:28:00Z</dcterms:created>
  <dcterms:modified xsi:type="dcterms:W3CDTF">2020-06-08T21:18:00Z</dcterms:modified>
</cp:coreProperties>
</file>