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3F5A0" w14:textId="6EC24366" w:rsidR="001D009D" w:rsidRPr="00C55596" w:rsidRDefault="001D009D">
      <w:pPr>
        <w:rPr>
          <w:rFonts w:ascii="Calibri" w:hAnsi="Calibri"/>
          <w:lang w:val="en-GB"/>
        </w:rPr>
      </w:pPr>
      <w:r w:rsidRPr="00AA373B">
        <w:rPr>
          <w:rFonts w:ascii="Calibri" w:hAnsi="Calibri" w:cs="Arial"/>
          <w:shd w:val="clear" w:color="auto" w:fill="FFFFFF"/>
        </w:rPr>
        <w:t>Pelly TF, Santillan CF, Gilman RH, Cabrera LZ, García E, Vidal C, Zimic MJ, Moore DA, Evans CA.</w:t>
      </w:r>
      <w:r w:rsidRPr="00AA373B">
        <w:rPr>
          <w:rFonts w:ascii="Calibri" w:hAnsi="Calibri" w:cs="Arial"/>
        </w:rPr>
        <w:br/>
      </w:r>
      <w:r w:rsidRPr="00AA373B">
        <w:rPr>
          <w:rFonts w:ascii="Calibri" w:hAnsi="Calibri" w:cs="Arial"/>
          <w:u w:val="single"/>
          <w:bdr w:val="none" w:sz="0" w:space="0" w:color="auto" w:frame="1"/>
          <w:shd w:val="clear" w:color="auto" w:fill="FFFFFF"/>
        </w:rPr>
        <w:t>Pruebas cutáneas de tuberculosis, anergia y desnutrición proteica en Perú.</w:t>
      </w:r>
      <w:r w:rsidRPr="00AA373B">
        <w:rPr>
          <w:rFonts w:ascii="Calibri" w:hAnsi="Calibri" w:cs="Arial"/>
        </w:rPr>
        <w:br/>
      </w:r>
      <w:r w:rsidRPr="00C55596">
        <w:rPr>
          <w:rStyle w:val="nfasis"/>
          <w:rFonts w:ascii="Calibri" w:hAnsi="Calibri" w:cs="Arial"/>
          <w:bdr w:val="none" w:sz="0" w:space="0" w:color="auto" w:frame="1"/>
          <w:shd w:val="clear" w:color="auto" w:fill="FFFFFF"/>
          <w:lang w:val="en-GB"/>
        </w:rPr>
        <w:t>International Journal of Tuberculosis and Lung Disease</w:t>
      </w:r>
      <w:r w:rsidRPr="00C55596">
        <w:rPr>
          <w:rFonts w:ascii="Calibri" w:hAnsi="Calibri" w:cs="Arial"/>
          <w:shd w:val="clear" w:color="auto" w:fill="FFFFFF"/>
          <w:lang w:val="en-GB"/>
        </w:rPr>
        <w:t> 2005</w:t>
      </w:r>
      <w:r w:rsidR="00C55596" w:rsidRPr="00C55596">
        <w:rPr>
          <w:rFonts w:ascii="Calibri" w:hAnsi="Calibri" w:cs="Arial"/>
          <w:shd w:val="clear" w:color="auto" w:fill="FFFFFF"/>
          <w:lang w:val="en-GB"/>
        </w:rPr>
        <w:t>; 9</w:t>
      </w:r>
      <w:r w:rsidRPr="00C55596">
        <w:rPr>
          <w:rFonts w:ascii="Calibri" w:hAnsi="Calibri" w:cs="Arial"/>
          <w:shd w:val="clear" w:color="auto" w:fill="FFFFFF"/>
          <w:lang w:val="en-GB"/>
        </w:rPr>
        <w:t>(9):977-984</w:t>
      </w:r>
      <w:r w:rsidRPr="00C55596">
        <w:rPr>
          <w:rFonts w:ascii="Calibri" w:hAnsi="Calibri" w:cs="Arial"/>
          <w:lang w:val="en-GB"/>
        </w:rPr>
        <w:br/>
      </w:r>
      <w:r w:rsidR="007F48F3" w:rsidRPr="00C55596">
        <w:rPr>
          <w:rFonts w:ascii="Calibri" w:hAnsi="Calibri" w:cs="Arial"/>
          <w:shd w:val="clear" w:color="auto" w:fill="FFFFFF"/>
          <w:lang w:val="en-GB"/>
        </w:rPr>
        <w:t>Acceso abierto</w:t>
      </w:r>
      <w:r w:rsidRPr="00C55596">
        <w:rPr>
          <w:rFonts w:ascii="Calibri" w:hAnsi="Calibri" w:cs="Arial"/>
          <w:shd w:val="clear" w:color="auto" w:fill="FFFFFF"/>
          <w:lang w:val="en-GB"/>
        </w:rPr>
        <w:t>: </w:t>
      </w:r>
      <w:hyperlink r:id="rId5" w:history="1">
        <w:r w:rsidRPr="00C55596">
          <w:rPr>
            <w:rStyle w:val="Hipervnculo"/>
            <w:rFonts w:ascii="Calibri" w:hAnsi="Calibri" w:cs="Arial"/>
            <w:color w:val="auto"/>
            <w:u w:val="none"/>
            <w:bdr w:val="none" w:sz="0" w:space="0" w:color="auto" w:frame="1"/>
            <w:shd w:val="clear" w:color="auto" w:fill="FFFFFF"/>
            <w:lang w:val="en-GB"/>
          </w:rPr>
          <w:t>http://www.ncbi.nlm.nih.gov/pubmed/16161252</w:t>
        </w:r>
      </w:hyperlink>
    </w:p>
    <w:p w14:paraId="511568B9" w14:textId="3D5F5B92" w:rsidR="00B97E5C" w:rsidRPr="00C55596" w:rsidRDefault="00B97E5C">
      <w:pPr>
        <w:rPr>
          <w:rFonts w:ascii="Calibri" w:hAnsi="Calibri"/>
          <w:lang w:val="en-GB"/>
        </w:rPr>
      </w:pPr>
      <w:bookmarkStart w:id="0" w:name="_GoBack"/>
      <w:bookmarkEnd w:id="0"/>
    </w:p>
    <w:p w14:paraId="69107E95" w14:textId="77777777" w:rsidR="00B97E5C" w:rsidRPr="00AA373B" w:rsidRDefault="00B97E5C" w:rsidP="00B97E5C">
      <w:pPr>
        <w:rPr>
          <w:rFonts w:ascii="Arial" w:hAnsi="Arial" w:cs="Arial"/>
          <w:b/>
          <w:bCs/>
        </w:rPr>
      </w:pPr>
      <w:r w:rsidRPr="00AA373B">
        <w:rPr>
          <w:rFonts w:ascii="Arial" w:hAnsi="Arial" w:cs="Arial"/>
          <w:b/>
          <w:bCs/>
        </w:rPr>
        <w:t>Resumen</w:t>
      </w:r>
    </w:p>
    <w:p w14:paraId="38D4F791" w14:textId="4CD95906" w:rsidR="00B97E5C" w:rsidRPr="00AA373B" w:rsidRDefault="00B97E5C" w:rsidP="00B97E5C">
      <w:pPr>
        <w:jc w:val="both"/>
        <w:rPr>
          <w:rFonts w:ascii="Calibri" w:hAnsi="Calibri"/>
        </w:rPr>
      </w:pPr>
      <w:r w:rsidRPr="00AA373B">
        <w:rPr>
          <w:rFonts w:ascii="Arial" w:hAnsi="Arial" w:cs="Arial"/>
          <w:b/>
          <w:bCs/>
        </w:rPr>
        <w:t>Lugar</w:t>
      </w:r>
      <w:r w:rsidRPr="00AA373B">
        <w:rPr>
          <w:rFonts w:ascii="Arial" w:hAnsi="Arial" w:cs="Arial"/>
        </w:rPr>
        <w:t>:</w:t>
      </w:r>
      <w:r w:rsidR="00C55596">
        <w:rPr>
          <w:rFonts w:ascii="Calibri" w:hAnsi="Calibri"/>
        </w:rPr>
        <w:t xml:space="preserve"> L</w:t>
      </w:r>
      <w:r w:rsidRPr="00AA373B">
        <w:rPr>
          <w:rFonts w:ascii="Calibri" w:hAnsi="Calibri"/>
        </w:rPr>
        <w:t>a desnutrición y los parásitos intestinales causan inmunosupresión. Esto puede causar pruebas cutáneas de tuberculina falsas negativas (TST) y no identificar la infección de tuberculosis (TB).</w:t>
      </w:r>
    </w:p>
    <w:p w14:paraId="38620D58" w14:textId="77777777" w:rsidR="00B97E5C" w:rsidRPr="00AA373B" w:rsidRDefault="00B97E5C" w:rsidP="00B97E5C">
      <w:pPr>
        <w:jc w:val="both"/>
        <w:rPr>
          <w:rFonts w:ascii="Calibri" w:hAnsi="Calibri"/>
        </w:rPr>
      </w:pPr>
      <w:r w:rsidRPr="00AA373B">
        <w:rPr>
          <w:rFonts w:ascii="Arial" w:hAnsi="Arial" w:cs="Arial"/>
          <w:b/>
          <w:bCs/>
        </w:rPr>
        <w:t>Objetivo</w:t>
      </w:r>
      <w:r w:rsidRPr="00AA373B">
        <w:rPr>
          <w:rFonts w:ascii="Calibri" w:hAnsi="Calibri"/>
        </w:rPr>
        <w:t>: Evaluar los factores asociados con la positividad y anergia de TST en comunidades desfavorecidas en Perú.</w:t>
      </w:r>
    </w:p>
    <w:p w14:paraId="2D80A5E1" w14:textId="77777777" w:rsidR="00B97E5C" w:rsidRPr="00AA373B" w:rsidRDefault="00B97E5C" w:rsidP="00B97E5C">
      <w:pPr>
        <w:jc w:val="both"/>
        <w:rPr>
          <w:rFonts w:ascii="Calibri" w:hAnsi="Calibri"/>
        </w:rPr>
      </w:pPr>
      <w:r w:rsidRPr="00AA373B">
        <w:rPr>
          <w:rFonts w:ascii="Arial" w:hAnsi="Arial" w:cs="Arial"/>
          <w:b/>
          <w:bCs/>
        </w:rPr>
        <w:t>Diseño</w:t>
      </w:r>
      <w:r w:rsidRPr="00AA373B">
        <w:rPr>
          <w:rFonts w:ascii="Calibri" w:hAnsi="Calibri"/>
        </w:rPr>
        <w:t>: Un estudio de 212 adultos seleccionados al azar: 102 en una aldea rural amazónica y 110 residentes de barriadas en la zona urbana de Lima.</w:t>
      </w:r>
    </w:p>
    <w:p w14:paraId="329462E1" w14:textId="77777777" w:rsidR="00B97E5C" w:rsidRPr="00AA373B" w:rsidRDefault="00B97E5C" w:rsidP="00B97E5C">
      <w:pPr>
        <w:jc w:val="both"/>
        <w:rPr>
          <w:rFonts w:ascii="Calibri" w:hAnsi="Calibri"/>
        </w:rPr>
      </w:pPr>
      <w:r w:rsidRPr="00AA373B">
        <w:rPr>
          <w:rFonts w:ascii="Arial" w:hAnsi="Arial" w:cs="Arial"/>
          <w:b/>
          <w:bCs/>
        </w:rPr>
        <w:t>Resultados</w:t>
      </w:r>
      <w:r w:rsidRPr="00AA373B">
        <w:rPr>
          <w:rFonts w:ascii="Calibri" w:hAnsi="Calibri"/>
        </w:rPr>
        <w:t>: Respectivamente, el 52% y el 53% de las poblaciones de la jungla urbana y rural fueron TST-positivas. Utilizando pruebas cutáneas simultáneas contra el tétanos y las cándida, el 99% tuvo al menos una prueba cutánea positiva. La anergia generalizada fue, por lo tanto, rara, a pesar de la frecuente infección parasitaria intestinal, que incluye un 34% de prevalencia de infección por helmintos en la selva. La positividad de TST se asoció con la edad (P = 0.001), el contacto conocido con TB (P = 0.02) y la mala ventilación del hogar (P = 0.007). La positividad de TST no se asoció significativamente con el hacinamiento, se informó TB anterior, vacunación con BCG simple / múltiple, ingresos, parásitos intestinales, factores dietéticos, índice de masa corporal o grasa corporal. Las personas con una proteína antropométrica corporal inferior, medida por el área muscular corregida del brazo, eran menos propensas a ser TST-positivas (P = 0.02), lo que implica que la desnutrición proteica causó anergia específica de tuberculina.</w:t>
      </w:r>
    </w:p>
    <w:p w14:paraId="0E48CC21" w14:textId="447489B0" w:rsidR="00B97E5C" w:rsidRPr="00AA373B" w:rsidRDefault="00B97E5C" w:rsidP="00B97E5C">
      <w:pPr>
        <w:jc w:val="both"/>
        <w:rPr>
          <w:rFonts w:ascii="Calibri" w:hAnsi="Calibri"/>
        </w:rPr>
      </w:pPr>
      <w:r w:rsidRPr="00AA373B">
        <w:rPr>
          <w:rFonts w:ascii="Arial" w:hAnsi="Arial" w:cs="Arial"/>
          <w:b/>
          <w:bCs/>
        </w:rPr>
        <w:t>Conclusión</w:t>
      </w:r>
      <w:r w:rsidRPr="00AA373B">
        <w:rPr>
          <w:rFonts w:ascii="Calibri" w:hAnsi="Calibri"/>
        </w:rPr>
        <w:t>: Estos resultados identifican la importancia de la ventilación doméstica para la transmisión comunitaria de TB y se suman a la evidencia de que la desnutrición proteica suprime la inmunidad de la TB, causando resultados TST falsos negativos.</w:t>
      </w:r>
    </w:p>
    <w:sectPr w:rsidR="00B97E5C" w:rsidRPr="00AA3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9D"/>
    <w:rsid w:val="001D009D"/>
    <w:rsid w:val="007F48F3"/>
    <w:rsid w:val="00AA373B"/>
    <w:rsid w:val="00B97E5C"/>
    <w:rsid w:val="00C5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2D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1D009D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D00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1D009D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D0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161612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JONATHAN</cp:lastModifiedBy>
  <cp:revision>5</cp:revision>
  <dcterms:created xsi:type="dcterms:W3CDTF">2020-06-02T09:55:00Z</dcterms:created>
  <dcterms:modified xsi:type="dcterms:W3CDTF">2020-06-05T18:04:00Z</dcterms:modified>
</cp:coreProperties>
</file>