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673C3" w14:textId="0BCD38CE" w:rsidR="00B62512" w:rsidRPr="00BD7366" w:rsidRDefault="00B62512">
      <w:pPr>
        <w:rPr>
          <w:rFonts w:ascii="Calibri" w:hAnsi="Calibri"/>
          <w:lang w:val="en-GB"/>
        </w:rPr>
      </w:pPr>
      <w:r w:rsidRPr="00B62512">
        <w:rPr>
          <w:rFonts w:ascii="Calibri" w:hAnsi="Calibri" w:cs="Arial"/>
          <w:shd w:val="clear" w:color="auto" w:fill="FFFFFF"/>
        </w:rPr>
        <w:t>Pelly T, Moore DAJ, Gilman R, Evans C.</w:t>
      </w:r>
      <w:r w:rsidRPr="00B62512">
        <w:rPr>
          <w:rFonts w:ascii="Calibri" w:hAnsi="Calibri" w:cs="Arial"/>
        </w:rPr>
        <w:br/>
      </w:r>
      <w:r w:rsidRPr="00B62512">
        <w:rPr>
          <w:rFonts w:ascii="Calibri" w:hAnsi="Calibri" w:cs="Arial"/>
          <w:u w:val="single"/>
          <w:bdr w:val="none" w:sz="0" w:space="0" w:color="auto" w:frame="1"/>
          <w:shd w:val="clear" w:color="auto" w:fill="FFFFFF"/>
        </w:rPr>
        <w:t>Avances recientes de tuberculosis en América Latina.</w:t>
      </w:r>
      <w:r w:rsidRPr="00B62512">
        <w:rPr>
          <w:rFonts w:ascii="Calibri" w:hAnsi="Calibri" w:cs="Arial"/>
        </w:rPr>
        <w:br/>
      </w:r>
      <w:r w:rsidRPr="00BD7366">
        <w:rPr>
          <w:rStyle w:val="nfasis"/>
          <w:rFonts w:ascii="Calibri" w:hAnsi="Calibri" w:cs="Arial"/>
          <w:bdr w:val="none" w:sz="0" w:space="0" w:color="auto" w:frame="1"/>
          <w:shd w:val="clear" w:color="auto" w:fill="FFFFFF"/>
          <w:lang w:val="en-GB"/>
        </w:rPr>
        <w:t>Current Opinion in Infectious Diseases</w:t>
      </w:r>
      <w:r w:rsidRPr="00BD7366">
        <w:rPr>
          <w:rFonts w:ascii="Calibri" w:hAnsi="Calibri" w:cs="Arial"/>
          <w:shd w:val="clear" w:color="auto" w:fill="FFFFFF"/>
          <w:lang w:val="en-GB"/>
        </w:rPr>
        <w:t xml:space="preserve"> 2004;17(5):397-403. </w:t>
      </w:r>
      <w:r w:rsidRPr="00BD7366">
        <w:rPr>
          <w:rFonts w:ascii="Calibri" w:hAnsi="Calibri" w:cs="Segoe UI"/>
          <w:shd w:val="clear" w:color="auto" w:fill="FFFFFF"/>
          <w:lang w:val="en-GB"/>
        </w:rPr>
        <w:t>doi: 10.1097/00001432-200410000-00003.</w:t>
      </w:r>
      <w:r w:rsidRPr="00BD7366">
        <w:rPr>
          <w:rFonts w:ascii="Calibri" w:hAnsi="Calibri" w:cs="Arial"/>
          <w:lang w:val="en-GB"/>
        </w:rPr>
        <w:br/>
      </w:r>
      <w:proofErr w:type="spellStart"/>
      <w:r w:rsidRPr="00BD7366">
        <w:rPr>
          <w:rFonts w:ascii="Calibri" w:hAnsi="Calibri" w:cs="Arial"/>
          <w:shd w:val="clear" w:color="auto" w:fill="FFFFFF"/>
          <w:lang w:val="en-GB"/>
        </w:rPr>
        <w:t>Acceso</w:t>
      </w:r>
      <w:proofErr w:type="spellEnd"/>
      <w:r w:rsidRPr="00BD7366">
        <w:rPr>
          <w:rFonts w:ascii="Calibri" w:hAnsi="Calibri" w:cs="Arial"/>
          <w:shd w:val="clear" w:color="auto" w:fill="FFFFFF"/>
          <w:lang w:val="en-GB"/>
        </w:rPr>
        <w:t xml:space="preserve"> </w:t>
      </w:r>
      <w:proofErr w:type="spellStart"/>
      <w:r w:rsidRPr="00BD7366">
        <w:rPr>
          <w:rFonts w:ascii="Calibri" w:hAnsi="Calibri" w:cs="Arial"/>
          <w:shd w:val="clear" w:color="auto" w:fill="FFFFFF"/>
          <w:lang w:val="en-GB"/>
        </w:rPr>
        <w:t>abierto</w:t>
      </w:r>
      <w:proofErr w:type="spellEnd"/>
      <w:r w:rsidRPr="00BD7366">
        <w:rPr>
          <w:rFonts w:ascii="Calibri" w:hAnsi="Calibri" w:cs="Arial"/>
          <w:shd w:val="clear" w:color="auto" w:fill="FFFFFF"/>
          <w:lang w:val="en-GB"/>
        </w:rPr>
        <w:t>: </w:t>
      </w:r>
      <w:hyperlink r:id="rId5" w:history="1">
        <w:r w:rsidRPr="00C531D7">
          <w:rPr>
            <w:rStyle w:val="Hipervnculo"/>
            <w:rFonts w:ascii="Calibri" w:hAnsi="Calibri" w:cs="Arial"/>
            <w:color w:val="auto"/>
            <w:u w:val="none"/>
            <w:bdr w:val="none" w:sz="0" w:space="0" w:color="auto" w:frame="1"/>
            <w:shd w:val="clear" w:color="auto" w:fill="FFFFFF"/>
            <w:lang w:val="en-GB"/>
          </w:rPr>
          <w:t>http://www.ncbi.nlm.nih.gov/pubmed/15353958</w:t>
        </w:r>
      </w:hyperlink>
    </w:p>
    <w:p w14:paraId="2C68D482" w14:textId="4CAD4463" w:rsidR="00B62512" w:rsidRPr="00BD7366" w:rsidRDefault="00B62512">
      <w:pPr>
        <w:rPr>
          <w:rFonts w:ascii="Calibri" w:hAnsi="Calibri"/>
          <w:lang w:val="en-GB"/>
        </w:rPr>
      </w:pPr>
    </w:p>
    <w:p w14:paraId="79B75587" w14:textId="77777777" w:rsidR="00B62512" w:rsidRPr="00B62512" w:rsidRDefault="00B62512" w:rsidP="00B62512">
      <w:pPr>
        <w:rPr>
          <w:rFonts w:ascii="Arial" w:hAnsi="Arial" w:cs="Arial"/>
          <w:b/>
          <w:bCs/>
        </w:rPr>
      </w:pPr>
      <w:r w:rsidRPr="00B62512">
        <w:rPr>
          <w:rFonts w:ascii="Arial" w:hAnsi="Arial" w:cs="Arial"/>
          <w:b/>
          <w:bCs/>
        </w:rPr>
        <w:t>Resumen</w:t>
      </w:r>
    </w:p>
    <w:p w14:paraId="09591CD9" w14:textId="6CD1F7C5" w:rsidR="00B62512" w:rsidRPr="00B62512" w:rsidRDefault="00B62512" w:rsidP="00B62512">
      <w:pPr>
        <w:jc w:val="both"/>
        <w:rPr>
          <w:rFonts w:ascii="Calibri" w:hAnsi="Calibri"/>
        </w:rPr>
      </w:pPr>
      <w:r w:rsidRPr="00B62512">
        <w:rPr>
          <w:rFonts w:ascii="Arial" w:hAnsi="Arial" w:cs="Arial"/>
          <w:b/>
          <w:bCs/>
        </w:rPr>
        <w:t>Propósito de la revisión:</w:t>
      </w:r>
      <w:r w:rsidR="00C531D7">
        <w:rPr>
          <w:rFonts w:ascii="Calibri" w:hAnsi="Calibri"/>
        </w:rPr>
        <w:t xml:space="preserve"> L</w:t>
      </w:r>
      <w:bookmarkStart w:id="0" w:name="_GoBack"/>
      <w:bookmarkEnd w:id="0"/>
      <w:r w:rsidRPr="00B62512">
        <w:rPr>
          <w:rFonts w:ascii="Calibri" w:hAnsi="Calibri"/>
        </w:rPr>
        <w:t>a tuberculosis mata a más personas que cualquier otra infección. A pesar de los avances en los métodos de diagnóstico y una mayor comprensión de las razones del fracaso del tratamiento, la tuberculosis sigue siendo común en toda América Latina.</w:t>
      </w:r>
    </w:p>
    <w:p w14:paraId="36DD6C56" w14:textId="77777777" w:rsidR="00B62512" w:rsidRPr="00B62512" w:rsidRDefault="00B62512" w:rsidP="00B62512">
      <w:pPr>
        <w:jc w:val="both"/>
        <w:rPr>
          <w:rFonts w:ascii="Calibri" w:hAnsi="Calibri"/>
        </w:rPr>
      </w:pPr>
      <w:r w:rsidRPr="00B62512">
        <w:rPr>
          <w:rFonts w:ascii="Arial" w:hAnsi="Arial" w:cs="Arial"/>
          <w:b/>
          <w:bCs/>
        </w:rPr>
        <w:t>Hallazgos recientes</w:t>
      </w:r>
      <w:r w:rsidRPr="00B62512">
        <w:rPr>
          <w:rFonts w:ascii="Arial" w:hAnsi="Arial" w:cs="Arial"/>
        </w:rPr>
        <w:t>:</w:t>
      </w:r>
      <w:r w:rsidRPr="00B62512">
        <w:rPr>
          <w:rFonts w:ascii="Calibri" w:hAnsi="Calibri"/>
        </w:rPr>
        <w:t xml:space="preserve"> El impacto del VIH y la resistencia a múltiples fármacos en el control de la tuberculosis ha sido enorme. Los pacientes VIH positivos pueden tener un riesgo 10 veces mayor de tuberculosis multirresistente que los pacientes VIH negativos. Con suerte, las técnicas de diagnóstico mejoradas permitirán un diagnóstico más rápido de la tuberculosis y se están desarrollando nuevos sistemas colorimétricos que permitirán pruebas de sensibilidad a los medicamentos aceleradas. Sin embargo, en informes alarmantes, solo el 58% de los pacientes fueron tratados con el régimen de tratamiento recomendado en un estudio brasileño, y el abandono del tratamiento en algunas partes de Bolivia fue común. Muchas fallas podrían ser combatidas mediante una educación rigurosa de pacientes y médicos. En un avance alentador, la tuberculosis resistente a múltiples fármacos se trató con éxito en un programa basado en la comunidad, ahorrando aproximadamente el 90% del costo del tratamiento hospitalario. Una oportunidad para identificar el fracaso del tratamiento antes se demuestra con el hallazgo de que 2 meses después del inicio de la terapia, se encontraron frotis positivos en solo el 3% de aquellos cuyo tratamiento fue exitoso, pero el 74% de aquellos cuyo tratamiento fracasó.</w:t>
      </w:r>
    </w:p>
    <w:p w14:paraId="2E25568B" w14:textId="6424C249" w:rsidR="00B62512" w:rsidRPr="00B62512" w:rsidRDefault="00B62512" w:rsidP="00B62512">
      <w:pPr>
        <w:jc w:val="both"/>
        <w:rPr>
          <w:rFonts w:ascii="Calibri" w:hAnsi="Calibri"/>
        </w:rPr>
      </w:pPr>
      <w:r w:rsidRPr="00B62512">
        <w:rPr>
          <w:rFonts w:ascii="Arial" w:hAnsi="Arial" w:cs="Arial"/>
          <w:b/>
          <w:bCs/>
        </w:rPr>
        <w:t>Resumen:</w:t>
      </w:r>
      <w:r w:rsidRPr="00B62512">
        <w:rPr>
          <w:rFonts w:ascii="Calibri" w:hAnsi="Calibri"/>
        </w:rPr>
        <w:t xml:space="preserve"> La importancia de los medicamentos baratos y ampliamente disponibles para tratar el VIH y la tuberculosis multirresistente en América Latina es clara. La necesidad de pruebas rápidas y asequibles para el diagnóstico de tuberculosis, y de pruebas fáciles de sensibilidad a los medicamentos también es evidente. Finalmente, se puede mejorar el éxito del tratamiento incluso en entornos con pocos recursos.</w:t>
      </w:r>
    </w:p>
    <w:sectPr w:rsidR="00B62512" w:rsidRPr="00B625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12"/>
    <w:rsid w:val="00B62512"/>
    <w:rsid w:val="00BD7366"/>
    <w:rsid w:val="00C531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B62512"/>
    <w:rPr>
      <w:i/>
      <w:iCs/>
    </w:rPr>
  </w:style>
  <w:style w:type="character" w:styleId="Hipervnculo">
    <w:name w:val="Hyperlink"/>
    <w:basedOn w:val="Fuentedeprrafopredeter"/>
    <w:uiPriority w:val="99"/>
    <w:semiHidden/>
    <w:unhideWhenUsed/>
    <w:rsid w:val="00B625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B62512"/>
    <w:rPr>
      <w:i/>
      <w:iCs/>
    </w:rPr>
  </w:style>
  <w:style w:type="character" w:styleId="Hipervnculo">
    <w:name w:val="Hyperlink"/>
    <w:basedOn w:val="Fuentedeprrafopredeter"/>
    <w:uiPriority w:val="99"/>
    <w:semiHidden/>
    <w:unhideWhenUsed/>
    <w:rsid w:val="00B625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bi.nlm.nih.gov/pubmed/1535395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352</Words>
  <Characters>1940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JONATHAN</cp:lastModifiedBy>
  <cp:revision>3</cp:revision>
  <dcterms:created xsi:type="dcterms:W3CDTF">2020-06-02T10:36:00Z</dcterms:created>
  <dcterms:modified xsi:type="dcterms:W3CDTF">2020-06-05T18:03:00Z</dcterms:modified>
</cp:coreProperties>
</file>