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ABF64" w14:textId="521D696D" w:rsidR="00C02A0A" w:rsidRPr="00253739" w:rsidRDefault="00C02A0A">
      <w:pPr>
        <w:rPr>
          <w:rFonts w:ascii="Calibri" w:hAnsi="Calibri" w:cs="Calibri"/>
          <w:lang w:val="es-PE"/>
        </w:rPr>
      </w:pPr>
      <w:r w:rsidRPr="00C02A0A">
        <w:rPr>
          <w:rFonts w:ascii="Calibri" w:hAnsi="Calibri" w:cs="Calibri"/>
          <w:shd w:val="clear" w:color="auto" w:fill="FFFFFF"/>
        </w:rPr>
        <w:t>Sandhu G, Battaglia F, Ely BK, Athanasakis D, Montoya R, Valencia T, Gilman RH, Evans CA, Friedland JS, Fernandez-Reyes D, Agranoff DD.</w:t>
      </w:r>
      <w:r w:rsidRPr="00C02A0A">
        <w:rPr>
          <w:rFonts w:ascii="Calibri" w:hAnsi="Calibri" w:cs="Calibri"/>
        </w:rPr>
        <w:br/>
      </w:r>
      <w:r w:rsidR="008444F2" w:rsidRPr="00253739">
        <w:rPr>
          <w:rFonts w:ascii="Calibri" w:hAnsi="Calibri" w:cs="Calibri"/>
          <w:u w:val="single"/>
          <w:bdr w:val="none" w:sz="0" w:space="0" w:color="auto" w:frame="1"/>
          <w:shd w:val="clear" w:color="auto" w:fill="FFFFFF"/>
          <w:lang w:val="es-PE"/>
        </w:rPr>
        <w:t>Discriminación activa de tuberculosis latente en pacientes que acuden a clínicas comunitarias</w:t>
      </w:r>
      <w:r w:rsidRPr="00253739">
        <w:rPr>
          <w:rFonts w:ascii="Calibri" w:hAnsi="Calibri" w:cs="Calibri"/>
          <w:lang w:val="es-PE"/>
        </w:rPr>
        <w:br/>
      </w:r>
      <w:r w:rsidRPr="00253739">
        <w:rPr>
          <w:rFonts w:ascii="Calibri" w:hAnsi="Calibri" w:cs="Calibri"/>
          <w:i/>
          <w:iCs/>
          <w:shd w:val="clear" w:color="auto" w:fill="FFFFFF"/>
          <w:lang w:val="es-PE"/>
        </w:rPr>
        <w:t>PLoS ONE</w:t>
      </w:r>
      <w:r w:rsidRPr="00253739">
        <w:rPr>
          <w:rFonts w:ascii="Calibri" w:hAnsi="Calibri" w:cs="Calibri"/>
          <w:shd w:val="clear" w:color="auto" w:fill="FFFFFF"/>
          <w:lang w:val="es-PE"/>
        </w:rPr>
        <w:t xml:space="preserve"> 2012;7(5):e38080. doi:10.1371/journal.pone.0038080.</w:t>
      </w:r>
      <w:r w:rsidRPr="00253739">
        <w:rPr>
          <w:rFonts w:ascii="Calibri" w:hAnsi="Calibri" w:cs="Calibri"/>
          <w:lang w:val="es-PE"/>
        </w:rPr>
        <w:br/>
      </w:r>
      <w:r w:rsidRPr="00253739">
        <w:rPr>
          <w:rFonts w:ascii="Calibri" w:hAnsi="Calibri" w:cs="Calibri"/>
          <w:shd w:val="clear" w:color="auto" w:fill="FFFFFF"/>
          <w:lang w:val="es-PE"/>
        </w:rPr>
        <w:t>Open access: </w:t>
      </w:r>
      <w:hyperlink r:id="rId5" w:history="1">
        <w:r w:rsidRPr="002B616F">
          <w:rPr>
            <w:rStyle w:val="Hipervnculo"/>
            <w:rFonts w:ascii="Calibri" w:hAnsi="Calibri" w:cs="Calibri"/>
            <w:color w:val="auto"/>
            <w:u w:val="none"/>
            <w:bdr w:val="none" w:sz="0" w:space="0" w:color="auto" w:frame="1"/>
            <w:shd w:val="clear" w:color="auto" w:fill="FFFFFF"/>
            <w:lang w:val="es-PE"/>
          </w:rPr>
          <w:t>https://www.ncbi.nlm.nih.gov/pubmed/22666453</w:t>
        </w:r>
      </w:hyperlink>
    </w:p>
    <w:p w14:paraId="64957992" w14:textId="5565B50C" w:rsidR="00C02A0A" w:rsidRPr="00253739" w:rsidRDefault="00C02A0A">
      <w:pPr>
        <w:rPr>
          <w:rFonts w:ascii="Calibri" w:hAnsi="Calibri" w:cs="Calibri"/>
          <w:lang w:val="es-PE"/>
        </w:rPr>
      </w:pPr>
    </w:p>
    <w:p w14:paraId="68FF4B3C" w14:textId="77777777" w:rsidR="00C02A0A" w:rsidRPr="00253739" w:rsidRDefault="00C02A0A" w:rsidP="00C02A0A">
      <w:pPr>
        <w:rPr>
          <w:rFonts w:ascii="Arial" w:hAnsi="Arial" w:cs="Arial"/>
          <w:b/>
          <w:bCs/>
          <w:lang w:val="es-PE"/>
        </w:rPr>
      </w:pPr>
      <w:r w:rsidRPr="00253739">
        <w:rPr>
          <w:rFonts w:ascii="Arial" w:hAnsi="Arial" w:cs="Arial"/>
          <w:b/>
          <w:bCs/>
          <w:lang w:val="es-PE"/>
        </w:rPr>
        <w:t>Resumen</w:t>
      </w:r>
      <w:bookmarkStart w:id="0" w:name="_GoBack"/>
      <w:bookmarkEnd w:id="0"/>
    </w:p>
    <w:p w14:paraId="24F63103" w14:textId="20349CFA" w:rsidR="00C02A0A" w:rsidRPr="00253739" w:rsidRDefault="00C02A0A" w:rsidP="00C02A0A">
      <w:pPr>
        <w:jc w:val="both"/>
        <w:rPr>
          <w:lang w:val="es-PE"/>
        </w:rPr>
      </w:pPr>
      <w:r w:rsidRPr="00253739">
        <w:rPr>
          <w:rFonts w:ascii="Arial" w:hAnsi="Arial" w:cs="Arial"/>
          <w:b/>
          <w:bCs/>
          <w:lang w:val="es-PE"/>
        </w:rPr>
        <w:t>Antecedentes:</w:t>
      </w:r>
      <w:r w:rsidRPr="00253739">
        <w:rPr>
          <w:b/>
          <w:bCs/>
          <w:lang w:val="es-PE"/>
        </w:rPr>
        <w:t xml:space="preserve"> </w:t>
      </w:r>
      <w:r w:rsidRPr="00253739">
        <w:rPr>
          <w:lang w:val="es-PE"/>
        </w:rPr>
        <w:t>Debido a la alta prevalencia global de infección latente de TB (LTBI), un desafío clave en entornos endémicos es distinguir pacientes con TB activa de pacientes con síntomas clínicos superpuestos sin TB activa pero con LTBI coexistente. Los métodos actuales son insuficientemente precisos. Las huellas digitales proteómicas en plasma pueden resolver esta dificultad al proporcionar una instantánea molecular que define el estado de la enfermedad que se puede utilizar para desarrollar diagnósticos en el punto de atención.</w:t>
      </w:r>
    </w:p>
    <w:p w14:paraId="13C30F5E" w14:textId="752A1AB5" w:rsidR="00C02A0A" w:rsidRPr="00253739" w:rsidRDefault="00C02A0A" w:rsidP="00C02A0A">
      <w:pPr>
        <w:jc w:val="both"/>
        <w:rPr>
          <w:lang w:val="es-PE"/>
        </w:rPr>
      </w:pPr>
      <w:r w:rsidRPr="00253739">
        <w:rPr>
          <w:rFonts w:ascii="Arial" w:hAnsi="Arial" w:cs="Arial"/>
          <w:b/>
          <w:bCs/>
          <w:lang w:val="es-PE"/>
        </w:rPr>
        <w:t>Métodos</w:t>
      </w:r>
      <w:r w:rsidRPr="00253739">
        <w:rPr>
          <w:b/>
          <w:bCs/>
          <w:lang w:val="es-PE"/>
        </w:rPr>
        <w:t xml:space="preserve">: </w:t>
      </w:r>
      <w:r w:rsidRPr="00253739">
        <w:rPr>
          <w:lang w:val="es-PE"/>
        </w:rPr>
        <w:t>Los datos clínicos y de plasma se obtuvieron prospectivamente de pacientes que asistían a clínicas comunitarias de TB en Perú y de contactos domésticos. El plasma se sometió a perfiles proteómicos de alto rendimiento por espectrometría de masas. Se utilizaron métodos de reconocimiento de patrones estadísticos para definir patrones espectrales de masas que distinguían a los pacientes con TB activa de los controles sintomáticos con o sin LTBI.</w:t>
      </w:r>
    </w:p>
    <w:p w14:paraId="3D31435E" w14:textId="643251AF" w:rsidR="00C02A0A" w:rsidRPr="00253739" w:rsidRDefault="00C02A0A" w:rsidP="00C02A0A">
      <w:pPr>
        <w:jc w:val="both"/>
        <w:rPr>
          <w:b/>
          <w:bCs/>
          <w:lang w:val="es-PE"/>
        </w:rPr>
      </w:pPr>
      <w:r w:rsidRPr="00253739">
        <w:rPr>
          <w:rFonts w:ascii="Arial" w:hAnsi="Arial" w:cs="Arial"/>
          <w:b/>
          <w:bCs/>
          <w:lang w:val="es-PE"/>
        </w:rPr>
        <w:t>Resultados</w:t>
      </w:r>
      <w:r w:rsidRPr="00253739">
        <w:rPr>
          <w:b/>
          <w:bCs/>
          <w:lang w:val="es-PE"/>
        </w:rPr>
        <w:t xml:space="preserve">: </w:t>
      </w:r>
      <w:r w:rsidRPr="00253739">
        <w:rPr>
          <w:lang w:val="es-PE"/>
        </w:rPr>
        <w:t>Se investigaron 156 pacientes con TB activa y 110 controles sintomáticos (pacientes con síntomas respiratorios sin TB activa). Los pacientes con TB activa se distinguían de los controles sintomáticos indiferenciados con una precisión del 87% (sensibilidad 84%, especificidad 90%), de los controles sintomáticos con LTBI (precisión del 87%, sensibilidad 89%, especificidad 82%) y de los controles sintomáticos sin LTBI ( precisión 90%, sensibilidad 90%, especificidad 92%).</w:t>
      </w:r>
    </w:p>
    <w:p w14:paraId="39DF737D" w14:textId="25F24C29" w:rsidR="00C02A0A" w:rsidRPr="00253739" w:rsidRDefault="00C02A0A" w:rsidP="00C02A0A">
      <w:pPr>
        <w:jc w:val="both"/>
        <w:rPr>
          <w:rFonts w:ascii="Calibri" w:hAnsi="Calibri" w:cs="Calibri"/>
          <w:lang w:val="es-PE"/>
        </w:rPr>
      </w:pPr>
      <w:r w:rsidRPr="00253739">
        <w:rPr>
          <w:rFonts w:ascii="Arial" w:hAnsi="Arial" w:cs="Arial"/>
          <w:b/>
          <w:bCs/>
          <w:lang w:val="es-PE"/>
        </w:rPr>
        <w:t>Conclusiones</w:t>
      </w:r>
      <w:r w:rsidRPr="00253739">
        <w:rPr>
          <w:b/>
          <w:bCs/>
          <w:lang w:val="es-PE"/>
        </w:rPr>
        <w:t>:</w:t>
      </w:r>
      <w:r w:rsidRPr="00253739">
        <w:rPr>
          <w:lang w:val="es-PE"/>
        </w:rPr>
        <w:t xml:space="preserve"> Mostramos que la TB activa se puede distinguir con precisión de LTBI en asistentes clínicos sintomáticos utilizando una huella digital proteómica de plasma. La traducción de biomarcadores derivados de este estudio a un formato de punto de atención robusto y asequible tendrá implicaciones significativas para el reconocimiento y el control de la TB activa en entornos de alta prevalencia.</w:t>
      </w:r>
    </w:p>
    <w:sectPr w:rsidR="00C02A0A" w:rsidRPr="00253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0A"/>
    <w:rsid w:val="00253739"/>
    <w:rsid w:val="002B616F"/>
    <w:rsid w:val="008444F2"/>
    <w:rsid w:val="00C02A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02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02A0A"/>
    <w:rPr>
      <w:color w:val="0000FF"/>
      <w:u w:val="single"/>
    </w:rPr>
  </w:style>
  <w:style w:type="character" w:customStyle="1" w:styleId="Ttulo2Car">
    <w:name w:val="Título 2 Car"/>
    <w:basedOn w:val="Fuentedeprrafopredeter"/>
    <w:link w:val="Ttulo2"/>
    <w:uiPriority w:val="9"/>
    <w:rsid w:val="00C02A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2A0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02A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02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02A0A"/>
    <w:rPr>
      <w:color w:val="0000FF"/>
      <w:u w:val="single"/>
    </w:rPr>
  </w:style>
  <w:style w:type="character" w:customStyle="1" w:styleId="Ttulo2Car">
    <w:name w:val="Título 2 Car"/>
    <w:basedOn w:val="Fuentedeprrafopredeter"/>
    <w:link w:val="Ttulo2"/>
    <w:uiPriority w:val="9"/>
    <w:rsid w:val="00C02A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2A0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02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4969">
      <w:bodyDiv w:val="1"/>
      <w:marLeft w:val="0"/>
      <w:marRight w:val="0"/>
      <w:marTop w:val="0"/>
      <w:marBottom w:val="0"/>
      <w:divBdr>
        <w:top w:val="none" w:sz="0" w:space="0" w:color="auto"/>
        <w:left w:val="none" w:sz="0" w:space="0" w:color="auto"/>
        <w:bottom w:val="none" w:sz="0" w:space="0" w:color="auto"/>
        <w:right w:val="none" w:sz="0" w:space="0" w:color="auto"/>
      </w:divBdr>
      <w:divsChild>
        <w:div w:id="2049143111">
          <w:marLeft w:val="0"/>
          <w:marRight w:val="0"/>
          <w:marTop w:val="0"/>
          <w:marBottom w:val="0"/>
          <w:divBdr>
            <w:top w:val="none" w:sz="0" w:space="0" w:color="auto"/>
            <w:left w:val="none" w:sz="0" w:space="0" w:color="auto"/>
            <w:bottom w:val="none" w:sz="0" w:space="0" w:color="auto"/>
            <w:right w:val="none" w:sz="0" w:space="0" w:color="auto"/>
          </w:divBdr>
          <w:divsChild>
            <w:div w:id="269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26664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1946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2020-06-01T13:07:00Z</dcterms:created>
  <dcterms:modified xsi:type="dcterms:W3CDTF">2020-06-05T18:11:00Z</dcterms:modified>
</cp:coreProperties>
</file>