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21DEE" w14:textId="613CF45F" w:rsidR="006D2109" w:rsidRPr="002774EC" w:rsidRDefault="006D2109">
      <w:pPr>
        <w:rPr>
          <w:rFonts w:ascii="Calibri" w:hAnsi="Calibri" w:cs="Calibri"/>
          <w:lang w:val="en-GB"/>
        </w:rPr>
      </w:pPr>
      <w:r w:rsidRPr="004E3616">
        <w:rPr>
          <w:rFonts w:ascii="Calibri" w:hAnsi="Calibri" w:cs="Calibri"/>
          <w:shd w:val="clear" w:color="auto" w:fill="FFFFFF"/>
        </w:rPr>
        <w:t>Toit K, Mitchell S, Balabanova Y, Evans CA, Kummik T, Nikolayevskyy V, Drobniewski F.</w:t>
      </w:r>
      <w:r w:rsidRPr="004E3616">
        <w:rPr>
          <w:rFonts w:ascii="Calibri" w:hAnsi="Calibri" w:cs="Calibri"/>
        </w:rPr>
        <w:br/>
      </w:r>
      <w:r w:rsidR="006D7CCE" w:rsidRPr="004E3616">
        <w:rPr>
          <w:rFonts w:ascii="Calibri" w:hAnsi="Calibri" w:cs="Calibri"/>
          <w:u w:val="single"/>
          <w:bdr w:val="none" w:sz="0" w:space="0" w:color="auto" w:frame="1"/>
          <w:shd w:val="clear" w:color="auto" w:fill="FFFFFF"/>
        </w:rPr>
        <w:t>La prueba de color para la prueba de susceptibilidad a medicamentos de cepas de Mycobacterium tuberculosis</w:t>
      </w:r>
      <w:r w:rsidRPr="004E3616">
        <w:rPr>
          <w:rFonts w:ascii="Calibri" w:hAnsi="Calibri" w:cs="Calibri"/>
        </w:rPr>
        <w:br/>
      </w:r>
      <w:r w:rsidRPr="004E3616">
        <w:rPr>
          <w:rStyle w:val="nfasis"/>
          <w:rFonts w:ascii="Calibri" w:hAnsi="Calibri" w:cs="Calibri"/>
          <w:bdr w:val="none" w:sz="0" w:space="0" w:color="auto" w:frame="1"/>
          <w:shd w:val="clear" w:color="auto" w:fill="FFFFFF"/>
        </w:rPr>
        <w:t>International Journal of Tuberculosis and Lung Disease</w:t>
      </w:r>
      <w:r w:rsidRPr="004E3616">
        <w:rPr>
          <w:rFonts w:ascii="Calibri" w:hAnsi="Calibri" w:cs="Calibri"/>
          <w:shd w:val="clear" w:color="auto" w:fill="FFFFFF"/>
        </w:rPr>
        <w:t> 2012;16(8):1113-8. doi: 10.5588/ijtld.11.0609.</w:t>
      </w:r>
      <w:r w:rsidRPr="004E3616">
        <w:rPr>
          <w:rFonts w:ascii="Calibri" w:hAnsi="Calibri" w:cs="Calibri"/>
        </w:rPr>
        <w:br/>
      </w:r>
      <w:r w:rsidRPr="002774EC">
        <w:rPr>
          <w:rFonts w:ascii="Calibri" w:hAnsi="Calibri" w:cs="Calibri"/>
          <w:shd w:val="clear" w:color="auto" w:fill="FFFFFF"/>
          <w:lang w:val="en-GB"/>
        </w:rPr>
        <w:t>Open access: </w:t>
      </w:r>
      <w:hyperlink r:id="rId5" w:history="1">
        <w:r w:rsidRPr="002774EC">
          <w:rPr>
            <w:rStyle w:val="Hipervnculo"/>
            <w:rFonts w:ascii="Calibri" w:hAnsi="Calibri" w:cs="Calibri"/>
            <w:color w:val="auto"/>
            <w:u w:val="none"/>
            <w:bdr w:val="none" w:sz="0" w:space="0" w:color="auto" w:frame="1"/>
            <w:shd w:val="clear" w:color="auto" w:fill="FFFFFF"/>
            <w:lang w:val="en-GB"/>
          </w:rPr>
          <w:t>http://www.ncbi.nlm.nih.gov/pubmed/22762424</w:t>
        </w:r>
      </w:hyperlink>
    </w:p>
    <w:p w14:paraId="593BB68F" w14:textId="77777777" w:rsidR="006D2109" w:rsidRPr="002774EC" w:rsidRDefault="006D2109" w:rsidP="006D2109">
      <w:pPr>
        <w:rPr>
          <w:rFonts w:ascii="Calibri" w:hAnsi="Calibri" w:cs="Calibri"/>
          <w:b/>
          <w:bCs/>
          <w:lang w:val="en-GB"/>
        </w:rPr>
      </w:pPr>
    </w:p>
    <w:p w14:paraId="7C5CB935" w14:textId="6FBA4D7D" w:rsidR="006D2109" w:rsidRPr="002774EC" w:rsidRDefault="006D2109" w:rsidP="006D2109">
      <w:pPr>
        <w:rPr>
          <w:rFonts w:ascii="Arial" w:hAnsi="Arial" w:cs="Arial"/>
          <w:b/>
          <w:bCs/>
          <w:lang w:val="en-GB"/>
        </w:rPr>
      </w:pPr>
      <w:r w:rsidRPr="002774EC">
        <w:rPr>
          <w:rFonts w:ascii="Arial" w:hAnsi="Arial" w:cs="Arial"/>
          <w:b/>
          <w:bCs/>
          <w:lang w:val="en-GB"/>
        </w:rPr>
        <w:t>Resumen</w:t>
      </w:r>
    </w:p>
    <w:p w14:paraId="0C3A10A8" w14:textId="77777777" w:rsidR="006D2109" w:rsidRPr="002774EC" w:rsidRDefault="006D2109" w:rsidP="006D2109">
      <w:pPr>
        <w:jc w:val="both"/>
        <w:rPr>
          <w:rFonts w:ascii="Calibri" w:hAnsi="Calibri" w:cs="Calibri"/>
          <w:lang w:val="en-GB"/>
        </w:rPr>
      </w:pPr>
      <w:r w:rsidRPr="002774EC">
        <w:rPr>
          <w:rFonts w:ascii="Arial" w:hAnsi="Arial" w:cs="Arial"/>
          <w:b/>
          <w:bCs/>
          <w:lang w:val="en-GB"/>
        </w:rPr>
        <w:t>Lugar</w:t>
      </w:r>
      <w:r w:rsidRPr="002774EC">
        <w:rPr>
          <w:rFonts w:ascii="Arial" w:hAnsi="Arial" w:cs="Arial"/>
          <w:lang w:val="en-GB"/>
        </w:rPr>
        <w:t>:</w:t>
      </w:r>
      <w:r w:rsidRPr="002774EC">
        <w:rPr>
          <w:rFonts w:ascii="Calibri" w:hAnsi="Calibri" w:cs="Calibri"/>
          <w:lang w:val="en-GB"/>
        </w:rPr>
        <w:t xml:space="preserve"> Tartu, Estonia.</w:t>
      </w:r>
    </w:p>
    <w:p w14:paraId="2A9DADD0" w14:textId="6E4BC58A" w:rsidR="006D2109" w:rsidRPr="004E3616" w:rsidRDefault="006D2109" w:rsidP="006D2109">
      <w:pPr>
        <w:jc w:val="both"/>
        <w:rPr>
          <w:rFonts w:ascii="Calibri" w:hAnsi="Calibri" w:cs="Calibri"/>
        </w:rPr>
      </w:pPr>
      <w:r w:rsidRPr="002774EC">
        <w:rPr>
          <w:rFonts w:ascii="Arial" w:hAnsi="Arial" w:cs="Arial"/>
          <w:b/>
          <w:bCs/>
        </w:rPr>
        <w:t>Objetivo</w:t>
      </w:r>
      <w:r w:rsidRPr="002774EC">
        <w:rPr>
          <w:rFonts w:ascii="Arial" w:hAnsi="Arial" w:cs="Arial"/>
        </w:rPr>
        <w:t>:</w:t>
      </w:r>
      <w:r w:rsidR="002774EC">
        <w:rPr>
          <w:rFonts w:ascii="Calibri" w:hAnsi="Calibri" w:cs="Calibri"/>
        </w:rPr>
        <w:t xml:space="preserve"> E</w:t>
      </w:r>
      <w:r w:rsidRPr="004E3616">
        <w:rPr>
          <w:rFonts w:ascii="Calibri" w:hAnsi="Calibri" w:cs="Calibri"/>
        </w:rPr>
        <w:t>valuar el rendimiento y la viabilidad de la introducción de la prueba de color MDR / XDR-TB de agar de capa delgada (prueba de color) como un método no comercial de prueba de susceptibilidad a medicamentos (DST).</w:t>
      </w:r>
    </w:p>
    <w:p w14:paraId="7E21C18D" w14:textId="77777777" w:rsidR="006D2109" w:rsidRPr="004E3616" w:rsidRDefault="006D2109" w:rsidP="006D2109">
      <w:pPr>
        <w:jc w:val="both"/>
        <w:rPr>
          <w:rFonts w:ascii="Calibri" w:hAnsi="Calibri" w:cs="Calibri"/>
        </w:rPr>
      </w:pPr>
      <w:r w:rsidRPr="004E3616">
        <w:rPr>
          <w:rFonts w:ascii="Arial" w:hAnsi="Arial" w:cs="Arial"/>
          <w:b/>
          <w:bCs/>
        </w:rPr>
        <w:t>Diseño</w:t>
      </w:r>
      <w:r w:rsidRPr="002774EC">
        <w:rPr>
          <w:rFonts w:ascii="Arial" w:hAnsi="Arial" w:cs="Arial"/>
          <w:b/>
          <w:bCs/>
        </w:rPr>
        <w:t>:</w:t>
      </w:r>
      <w:r w:rsidRPr="004E3616">
        <w:rPr>
          <w:rFonts w:ascii="Calibri" w:hAnsi="Calibri" w:cs="Calibri"/>
        </w:rPr>
        <w:t xml:space="preserve"> La prueba de color combina la técnica de agar de capa fina con un formato de cuadrante simple codificado por color, medio selectivo para reducir la contaminación e indicación colorimétrica del crecimiento bacteriano para simplificar la interpretación. Los patrones de DST para isoniazida (INH), rifampicina (RMP) y ciprofloxacina (CFX) se determinaron usando la Prueba de color para 201 aislados de Mycobacterium tuberculosis archivados. Las susceptibilidades se compararon con los resultados de DST cegados obtenidos rutinariamente utilizando el tubo indicador de crecimiento de micobacterias ™ BACTEC ™ (MGIT) 960 para evaluar las características de rendimiento.</w:t>
      </w:r>
    </w:p>
    <w:p w14:paraId="700B38E1" w14:textId="443FC5E8" w:rsidR="006D2109" w:rsidRPr="004E3616" w:rsidRDefault="006D2109" w:rsidP="006D2109">
      <w:pPr>
        <w:jc w:val="both"/>
        <w:rPr>
          <w:rFonts w:ascii="Calibri" w:hAnsi="Calibri" w:cs="Calibri"/>
        </w:rPr>
      </w:pPr>
      <w:r w:rsidRPr="004E3616">
        <w:rPr>
          <w:rFonts w:ascii="Arial" w:hAnsi="Arial" w:cs="Arial"/>
          <w:b/>
          <w:bCs/>
        </w:rPr>
        <w:t>Resultados</w:t>
      </w:r>
      <w:r w:rsidRPr="004E3616">
        <w:rPr>
          <w:rFonts w:ascii="Calibri" w:hAnsi="Calibri" w:cs="Calibri"/>
          <w:b/>
          <w:bCs/>
        </w:rPr>
        <w:t>:</w:t>
      </w:r>
      <w:r w:rsidR="002774EC">
        <w:rPr>
          <w:rFonts w:ascii="Calibri" w:hAnsi="Calibri" w:cs="Calibri"/>
        </w:rPr>
        <w:t xml:space="preserve"> E</w:t>
      </w:r>
      <w:bookmarkStart w:id="0" w:name="_GoBack"/>
      <w:bookmarkEnd w:id="0"/>
      <w:r w:rsidRPr="004E3616">
        <w:rPr>
          <w:rFonts w:ascii="Calibri" w:hAnsi="Calibri" w:cs="Calibri"/>
        </w:rPr>
        <w:t>n total, el 98% de los aislamientos produjeron resultados interpretables. El tiempo promedio de positividad fue de 13 días, y todos los resultados fueron interpretables. La prueba de color detectó resistencia a los medicamentos con una sensibilidad del 98% para INH, RMP y CFX y 99% para la tuberculosis multirresistente. Las especificidades fueron respectivamente 100% (IC 95% 82-100), 88% (IC 95% 69-97) y 91% (IC 95% 83-96) y 90% (IC 95% 74-98). La concordancia entre la Prueba de color y el BACTEC MGIT 960 fueron respectivamente 98%, 96%, 94% y 97%.</w:t>
      </w:r>
    </w:p>
    <w:p w14:paraId="24CF99C7" w14:textId="7991F6E9" w:rsidR="006D2109" w:rsidRPr="004E3616" w:rsidRDefault="006D2109" w:rsidP="006D2109">
      <w:pPr>
        <w:jc w:val="both"/>
        <w:rPr>
          <w:rFonts w:ascii="Calibri" w:hAnsi="Calibri" w:cs="Calibri"/>
        </w:rPr>
      </w:pPr>
      <w:r w:rsidRPr="004E3616">
        <w:rPr>
          <w:rFonts w:ascii="Arial" w:hAnsi="Arial" w:cs="Arial"/>
          <w:b/>
          <w:bCs/>
        </w:rPr>
        <w:t>Conclusión</w:t>
      </w:r>
      <w:r w:rsidRPr="004E3616">
        <w:rPr>
          <w:rFonts w:ascii="Calibri" w:hAnsi="Calibri" w:cs="Calibri"/>
        </w:rPr>
        <w:t>: La prueba de color podría ser una técnica económica, precisa y simple para evaluar las cepas de tuberculosis en busca de resistencia a los medicamentos. Como requiere poco equipo especializado, puede ser particularmente útil en entornos con recursos limitados con tasas crecientes de resistencia a los medicamentos.</w:t>
      </w:r>
    </w:p>
    <w:sectPr w:rsidR="006D2109" w:rsidRPr="004E3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9"/>
    <w:rsid w:val="002774EC"/>
    <w:rsid w:val="004E3616"/>
    <w:rsid w:val="006D2109"/>
    <w:rsid w:val="006D7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6D2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21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210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D2109"/>
    <w:rPr>
      <w:b/>
      <w:bCs/>
    </w:rPr>
  </w:style>
  <w:style w:type="character" w:styleId="nfasis">
    <w:name w:val="Emphasis"/>
    <w:basedOn w:val="Fuentedeprrafopredeter"/>
    <w:uiPriority w:val="20"/>
    <w:qFormat/>
    <w:rsid w:val="006D2109"/>
    <w:rPr>
      <w:i/>
      <w:iCs/>
    </w:rPr>
  </w:style>
  <w:style w:type="character" w:styleId="Hipervnculo">
    <w:name w:val="Hyperlink"/>
    <w:basedOn w:val="Fuentedeprrafopredeter"/>
    <w:uiPriority w:val="99"/>
    <w:semiHidden/>
    <w:unhideWhenUsed/>
    <w:rsid w:val="006D2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6D2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21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210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D2109"/>
    <w:rPr>
      <w:b/>
      <w:bCs/>
    </w:rPr>
  </w:style>
  <w:style w:type="character" w:styleId="nfasis">
    <w:name w:val="Emphasis"/>
    <w:basedOn w:val="Fuentedeprrafopredeter"/>
    <w:uiPriority w:val="20"/>
    <w:qFormat/>
    <w:rsid w:val="006D2109"/>
    <w:rPr>
      <w:i/>
      <w:iCs/>
    </w:rPr>
  </w:style>
  <w:style w:type="character" w:styleId="Hipervnculo">
    <w:name w:val="Hyperlink"/>
    <w:basedOn w:val="Fuentedeprrafopredeter"/>
    <w:uiPriority w:val="99"/>
    <w:semiHidden/>
    <w:unhideWhenUsed/>
    <w:rsid w:val="006D2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32360">
      <w:bodyDiv w:val="1"/>
      <w:marLeft w:val="0"/>
      <w:marRight w:val="0"/>
      <w:marTop w:val="0"/>
      <w:marBottom w:val="0"/>
      <w:divBdr>
        <w:top w:val="none" w:sz="0" w:space="0" w:color="auto"/>
        <w:left w:val="none" w:sz="0" w:space="0" w:color="auto"/>
        <w:bottom w:val="none" w:sz="0" w:space="0" w:color="auto"/>
        <w:right w:val="none" w:sz="0" w:space="0" w:color="auto"/>
      </w:divBdr>
      <w:divsChild>
        <w:div w:id="122310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2762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1893</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2020-06-01T13:03:00Z</dcterms:created>
  <dcterms:modified xsi:type="dcterms:W3CDTF">2020-06-05T18:36:00Z</dcterms:modified>
</cp:coreProperties>
</file>