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B13" w:rsidRPr="005C4EE0" w:rsidRDefault="00D03B13" w:rsidP="00D03B13">
      <w:pPr>
        <w:pStyle w:val="Puesto"/>
        <w:rPr>
          <w:rFonts w:ascii="Arial" w:eastAsia="Cambria" w:hAnsi="Arial" w:cs="Arial"/>
          <w:bCs w:val="0"/>
          <w:kern w:val="0"/>
          <w:sz w:val="22"/>
          <w:szCs w:val="22"/>
          <w:lang w:val="en-GB"/>
        </w:rPr>
      </w:pPr>
      <w:bookmarkStart w:id="0" w:name="_Toc434490828"/>
      <w:r w:rsidRPr="005C4EE0">
        <w:rPr>
          <w:rFonts w:ascii="Arial" w:eastAsia="Cambria" w:hAnsi="Arial" w:cs="Arial"/>
          <w:bCs w:val="0"/>
          <w:kern w:val="0"/>
          <w:sz w:val="22"/>
          <w:szCs w:val="22"/>
          <w:lang w:val="en-GB"/>
        </w:rPr>
        <w:t>Innovative community-based partnerships to reach the unreached</w:t>
      </w:r>
      <w:bookmarkEnd w:id="0"/>
      <w:r w:rsidRPr="005C4EE0">
        <w:rPr>
          <w:rFonts w:ascii="Arial" w:eastAsia="Cambria" w:hAnsi="Arial" w:cs="Arial"/>
          <w:bCs w:val="0"/>
          <w:kern w:val="0"/>
          <w:sz w:val="22"/>
          <w:szCs w:val="22"/>
          <w:lang w:val="en-GB"/>
        </w:rPr>
        <w:t xml:space="preserve"> </w:t>
      </w:r>
    </w:p>
    <w:p w:rsidR="00D03B13" w:rsidRPr="009B73ED" w:rsidRDefault="00D03B13" w:rsidP="00D03B13"/>
    <w:p w:rsidR="00D03B13" w:rsidRPr="00840383" w:rsidRDefault="00D03B13" w:rsidP="00D03B13">
      <w:pPr>
        <w:jc w:val="center"/>
        <w:rPr>
          <w:rFonts w:asciiTheme="minorHAnsi" w:eastAsia="Cambria" w:hAnsiTheme="minorHAnsi" w:cstheme="minorHAnsi"/>
          <w:sz w:val="22"/>
          <w:szCs w:val="22"/>
          <w:lang w:val="es-PE"/>
        </w:rPr>
      </w:pPr>
      <w:r w:rsidRPr="00840383">
        <w:rPr>
          <w:rFonts w:asciiTheme="minorHAnsi" w:eastAsia="Cambria" w:hAnsiTheme="minorHAnsi" w:cstheme="minorHAnsi"/>
          <w:sz w:val="22"/>
          <w:szCs w:val="22"/>
          <w:lang w:val="es-PE"/>
        </w:rPr>
        <w:t>Marco A Tovar</w:t>
      </w:r>
      <w:r w:rsidRPr="00840383">
        <w:rPr>
          <w:rFonts w:asciiTheme="minorHAnsi" w:eastAsia="Cambria" w:hAnsiTheme="minorHAnsi" w:cstheme="minorHAnsi"/>
          <w:sz w:val="22"/>
          <w:szCs w:val="22"/>
          <w:vertAlign w:val="superscript"/>
          <w:lang w:val="es-PE"/>
        </w:rPr>
        <w:t>1,2</w:t>
      </w:r>
      <w:r w:rsidRPr="00840383">
        <w:rPr>
          <w:rFonts w:asciiTheme="minorHAnsi" w:eastAsia="Cambria" w:hAnsiTheme="minorHAnsi" w:cstheme="minorHAnsi"/>
          <w:sz w:val="22"/>
          <w:szCs w:val="22"/>
          <w:lang w:val="es-PE"/>
        </w:rPr>
        <w:t>, Rosario Montoya</w:t>
      </w:r>
      <w:r w:rsidRPr="00840383">
        <w:rPr>
          <w:rFonts w:asciiTheme="minorHAnsi" w:eastAsia="Cambria" w:hAnsiTheme="minorHAnsi" w:cstheme="minorHAnsi"/>
          <w:sz w:val="22"/>
          <w:szCs w:val="22"/>
          <w:vertAlign w:val="superscript"/>
          <w:lang w:val="es-PE"/>
        </w:rPr>
        <w:t>2</w:t>
      </w:r>
      <w:r w:rsidRPr="00840383">
        <w:rPr>
          <w:rFonts w:asciiTheme="minorHAnsi" w:eastAsia="Cambria" w:hAnsiTheme="minorHAnsi" w:cstheme="minorHAnsi"/>
          <w:sz w:val="22"/>
          <w:szCs w:val="22"/>
          <w:lang w:val="es-PE"/>
        </w:rPr>
        <w:t>, Dougles Huff</w:t>
      </w:r>
      <w:r w:rsidRPr="00840383">
        <w:rPr>
          <w:rFonts w:asciiTheme="minorHAnsi" w:eastAsia="Cambria" w:hAnsiTheme="minorHAnsi" w:cstheme="minorHAnsi"/>
          <w:sz w:val="22"/>
          <w:szCs w:val="22"/>
          <w:vertAlign w:val="superscript"/>
          <w:lang w:val="es-PE"/>
        </w:rPr>
        <w:t>1</w:t>
      </w:r>
      <w:r w:rsidRPr="00840383">
        <w:rPr>
          <w:rFonts w:asciiTheme="minorHAnsi" w:eastAsia="Cambria" w:hAnsiTheme="minorHAnsi" w:cstheme="minorHAnsi"/>
          <w:sz w:val="22"/>
          <w:szCs w:val="22"/>
          <w:lang w:val="es-PE"/>
        </w:rPr>
        <w:t>, Eric Ramos</w:t>
      </w:r>
      <w:r w:rsidRPr="00840383">
        <w:rPr>
          <w:rFonts w:asciiTheme="minorHAnsi" w:eastAsia="Cambria" w:hAnsiTheme="minorHAnsi" w:cstheme="minorHAnsi"/>
          <w:sz w:val="22"/>
          <w:szCs w:val="22"/>
          <w:vertAlign w:val="superscript"/>
          <w:lang w:val="es-PE"/>
        </w:rPr>
        <w:t>1,2</w:t>
      </w:r>
      <w:r w:rsidRPr="00840383">
        <w:rPr>
          <w:rFonts w:asciiTheme="minorHAnsi" w:eastAsia="Cambria" w:hAnsiTheme="minorHAnsi" w:cstheme="minorHAnsi"/>
          <w:sz w:val="22"/>
          <w:szCs w:val="22"/>
          <w:lang w:val="es-PE"/>
        </w:rPr>
        <w:t>, Matthew Saunders</w:t>
      </w:r>
      <w:r w:rsidRPr="00840383">
        <w:rPr>
          <w:rFonts w:asciiTheme="minorHAnsi" w:eastAsia="Cambria" w:hAnsiTheme="minorHAnsi" w:cstheme="minorHAnsi"/>
          <w:sz w:val="22"/>
          <w:szCs w:val="22"/>
          <w:vertAlign w:val="superscript"/>
          <w:lang w:val="es-PE"/>
        </w:rPr>
        <w:t>1,2</w:t>
      </w:r>
      <w:r w:rsidRPr="00840383">
        <w:rPr>
          <w:rFonts w:asciiTheme="minorHAnsi" w:eastAsia="Cambria" w:hAnsiTheme="minorHAnsi" w:cstheme="minorHAnsi"/>
          <w:sz w:val="22"/>
          <w:szCs w:val="22"/>
          <w:lang w:val="es-PE"/>
        </w:rPr>
        <w:t>, Matias Iberico</w:t>
      </w:r>
      <w:r w:rsidRPr="00840383">
        <w:rPr>
          <w:rFonts w:asciiTheme="minorHAnsi" w:eastAsia="Cambria" w:hAnsiTheme="minorHAnsi" w:cstheme="minorHAnsi"/>
          <w:sz w:val="22"/>
          <w:szCs w:val="22"/>
          <w:vertAlign w:val="superscript"/>
          <w:lang w:val="es-PE"/>
        </w:rPr>
        <w:t>1,2</w:t>
      </w:r>
      <w:r w:rsidRPr="00840383">
        <w:rPr>
          <w:rFonts w:asciiTheme="minorHAnsi" w:eastAsia="Cambria" w:hAnsiTheme="minorHAnsi" w:cstheme="minorHAnsi"/>
          <w:sz w:val="22"/>
          <w:szCs w:val="22"/>
          <w:lang w:val="es-PE"/>
        </w:rPr>
        <w:t>, Delia Boccia</w:t>
      </w:r>
      <w:r w:rsidRPr="00840383">
        <w:rPr>
          <w:rFonts w:asciiTheme="minorHAnsi" w:eastAsia="Cambria" w:hAnsiTheme="minorHAnsi" w:cstheme="minorHAnsi"/>
          <w:sz w:val="22"/>
          <w:szCs w:val="22"/>
          <w:vertAlign w:val="superscript"/>
          <w:lang w:val="es-PE"/>
        </w:rPr>
        <w:t>3</w:t>
      </w:r>
      <w:r w:rsidRPr="00840383">
        <w:rPr>
          <w:rFonts w:asciiTheme="minorHAnsi" w:eastAsia="Cambria" w:hAnsiTheme="minorHAnsi" w:cstheme="minorHAnsi"/>
          <w:sz w:val="22"/>
          <w:szCs w:val="22"/>
          <w:lang w:val="es-PE"/>
        </w:rPr>
        <w:t xml:space="preserve">, </w:t>
      </w:r>
      <w:r w:rsidRPr="00840383">
        <w:rPr>
          <w:rFonts w:asciiTheme="minorHAnsi" w:eastAsia="Cambria" w:hAnsiTheme="minorHAnsi" w:cstheme="minorHAnsi"/>
          <w:sz w:val="22"/>
          <w:szCs w:val="22"/>
          <w:u w:val="single"/>
          <w:lang w:val="es-PE"/>
        </w:rPr>
        <w:t>Carlton A Evans</w:t>
      </w:r>
      <w:r w:rsidRPr="00840383">
        <w:rPr>
          <w:rFonts w:asciiTheme="minorHAnsi" w:eastAsia="Cambria" w:hAnsiTheme="minorHAnsi" w:cstheme="minorHAnsi"/>
          <w:sz w:val="22"/>
          <w:szCs w:val="22"/>
          <w:vertAlign w:val="superscript"/>
          <w:lang w:val="es-PE"/>
        </w:rPr>
        <w:t>1,4</w:t>
      </w:r>
      <w:bookmarkStart w:id="1" w:name="_GoBack"/>
      <w:bookmarkEnd w:id="1"/>
    </w:p>
    <w:p w:rsidR="00D03B13" w:rsidRPr="00840383" w:rsidRDefault="00D03B13" w:rsidP="00D03B13">
      <w:pPr>
        <w:spacing w:after="200"/>
        <w:ind w:left="360"/>
        <w:contextualSpacing/>
        <w:rPr>
          <w:rFonts w:asciiTheme="minorHAnsi" w:eastAsia="Cambria" w:hAnsiTheme="minorHAnsi" w:cstheme="minorHAnsi"/>
          <w:sz w:val="22"/>
          <w:szCs w:val="22"/>
          <w:lang w:val="es-PE"/>
        </w:rPr>
      </w:pPr>
    </w:p>
    <w:p w:rsidR="00D03B13" w:rsidRPr="00840383" w:rsidRDefault="00D03B13" w:rsidP="00D03B13">
      <w:pPr>
        <w:numPr>
          <w:ilvl w:val="0"/>
          <w:numId w:val="1"/>
        </w:numPr>
        <w:spacing w:after="200"/>
        <w:contextualSpacing/>
        <w:rPr>
          <w:rFonts w:asciiTheme="minorHAnsi" w:eastAsia="Cambria" w:hAnsiTheme="minorHAnsi" w:cstheme="minorHAnsi"/>
          <w:sz w:val="22"/>
          <w:szCs w:val="22"/>
          <w:lang w:val="en-GB"/>
        </w:rPr>
      </w:pPr>
      <w:r w:rsidRPr="00840383">
        <w:rPr>
          <w:rFonts w:asciiTheme="minorHAnsi" w:eastAsia="Cambria" w:hAnsiTheme="minorHAnsi" w:cstheme="minorHAnsi"/>
          <w:sz w:val="22"/>
          <w:szCs w:val="22"/>
          <w:lang w:val="en-GB"/>
        </w:rPr>
        <w:t>IFHAD: Innovation for Health And Development, Universidad Peruana Cayetano Heredia, Lima, Peru.</w:t>
      </w:r>
    </w:p>
    <w:p w:rsidR="00D03B13" w:rsidRPr="00840383" w:rsidRDefault="00D03B13" w:rsidP="00D03B13">
      <w:pPr>
        <w:numPr>
          <w:ilvl w:val="0"/>
          <w:numId w:val="1"/>
        </w:numPr>
        <w:tabs>
          <w:tab w:val="num" w:pos="720"/>
        </w:tabs>
        <w:spacing w:after="200"/>
        <w:contextualSpacing/>
        <w:rPr>
          <w:rFonts w:asciiTheme="minorHAnsi" w:eastAsia="Cambria" w:hAnsiTheme="minorHAnsi" w:cstheme="minorHAnsi"/>
          <w:sz w:val="22"/>
          <w:szCs w:val="22"/>
          <w:lang w:val="es-PE"/>
        </w:rPr>
      </w:pPr>
      <w:r w:rsidRPr="00840383">
        <w:rPr>
          <w:rFonts w:asciiTheme="minorHAnsi" w:eastAsia="Cambria" w:hAnsiTheme="minorHAnsi" w:cstheme="minorHAnsi"/>
          <w:sz w:val="22"/>
          <w:szCs w:val="22"/>
          <w:lang w:val="es-PE"/>
        </w:rPr>
        <w:t>IPSYD: Innovacion Por la Salud Y el Desarollo, Asociación Benefica PRISMA, Lima, Peru.</w:t>
      </w:r>
    </w:p>
    <w:p w:rsidR="00D03B13" w:rsidRPr="00840383" w:rsidRDefault="00D03B13" w:rsidP="00D03B13">
      <w:pPr>
        <w:numPr>
          <w:ilvl w:val="0"/>
          <w:numId w:val="1"/>
        </w:numPr>
        <w:spacing w:after="200"/>
        <w:contextualSpacing/>
        <w:rPr>
          <w:rFonts w:asciiTheme="minorHAnsi" w:eastAsia="Cambria" w:hAnsiTheme="minorHAnsi" w:cstheme="minorHAnsi"/>
          <w:sz w:val="22"/>
          <w:szCs w:val="22"/>
          <w:lang w:val="en-GB"/>
        </w:rPr>
      </w:pPr>
      <w:r w:rsidRPr="00840383">
        <w:rPr>
          <w:rFonts w:asciiTheme="minorHAnsi" w:eastAsia="Cambria" w:hAnsiTheme="minorHAnsi" w:cstheme="minorHAnsi"/>
          <w:sz w:val="22"/>
          <w:szCs w:val="22"/>
          <w:lang w:val="en-GB"/>
        </w:rPr>
        <w:t>Faculty of Epidemiology &amp; Population Health, Department Infectious Disease Epidemiology, London School of Hygiene and Tropical Medicine.</w:t>
      </w:r>
    </w:p>
    <w:p w:rsidR="00D03B13" w:rsidRPr="00840383" w:rsidRDefault="00D03B13" w:rsidP="00D03B13">
      <w:pPr>
        <w:numPr>
          <w:ilvl w:val="0"/>
          <w:numId w:val="1"/>
        </w:numPr>
        <w:spacing w:after="200"/>
        <w:contextualSpacing/>
        <w:rPr>
          <w:rFonts w:asciiTheme="minorHAnsi" w:eastAsia="Cambria" w:hAnsiTheme="minorHAnsi" w:cstheme="minorHAnsi"/>
          <w:sz w:val="22"/>
          <w:szCs w:val="22"/>
          <w:lang w:val="en-GB"/>
        </w:rPr>
      </w:pPr>
      <w:r w:rsidRPr="00840383">
        <w:rPr>
          <w:rFonts w:asciiTheme="minorHAnsi" w:eastAsia="Cambria" w:hAnsiTheme="minorHAnsi" w:cstheme="minorHAnsi"/>
          <w:sz w:val="22"/>
          <w:szCs w:val="22"/>
          <w:lang w:val="en-GB"/>
        </w:rPr>
        <w:t>Infectious Diseases &amp; Immunity, Imperial College London, and Wellcome Trust Imperial College Centre for Global Health Research, London, UK.</w:t>
      </w:r>
    </w:p>
    <w:p w:rsidR="00D03B13" w:rsidRPr="00840383" w:rsidRDefault="00D03B13" w:rsidP="00D03B13">
      <w:pPr>
        <w:rPr>
          <w:rFonts w:asciiTheme="minorHAnsi" w:eastAsia="Cambria" w:hAnsiTheme="minorHAnsi" w:cstheme="minorHAnsi"/>
          <w:b/>
          <w:sz w:val="22"/>
          <w:szCs w:val="22"/>
          <w:lang w:val="en-GB"/>
        </w:rPr>
      </w:pPr>
    </w:p>
    <w:p w:rsidR="00D03B13" w:rsidRPr="00840383" w:rsidRDefault="00D03B13" w:rsidP="00D03B13">
      <w:pPr>
        <w:jc w:val="both"/>
        <w:rPr>
          <w:rFonts w:asciiTheme="minorHAnsi" w:eastAsia="Cambria" w:hAnsiTheme="minorHAnsi" w:cstheme="minorHAnsi"/>
          <w:sz w:val="22"/>
          <w:szCs w:val="22"/>
          <w:lang w:val="en-GB"/>
        </w:rPr>
      </w:pPr>
      <w:r w:rsidRPr="005C4EE0">
        <w:rPr>
          <w:rFonts w:ascii="Arial" w:eastAsia="Cambria" w:hAnsi="Arial" w:cs="Arial"/>
          <w:b/>
          <w:sz w:val="22"/>
          <w:szCs w:val="22"/>
          <w:lang w:val="en-GB"/>
        </w:rPr>
        <w:t>Background</w:t>
      </w:r>
      <w:r w:rsidRPr="005C4EE0">
        <w:rPr>
          <w:rFonts w:ascii="Arial" w:eastAsia="Cambria" w:hAnsi="Arial" w:cs="Arial"/>
          <w:sz w:val="22"/>
          <w:szCs w:val="22"/>
          <w:lang w:val="en-GB"/>
        </w:rPr>
        <w:t>:</w:t>
      </w:r>
      <w:r w:rsidRPr="00840383">
        <w:rPr>
          <w:rFonts w:asciiTheme="minorHAnsi" w:eastAsia="Cambria" w:hAnsiTheme="minorHAnsi" w:cstheme="minorHAnsi"/>
          <w:sz w:val="22"/>
          <w:szCs w:val="22"/>
          <w:lang w:val="en-GB"/>
        </w:rPr>
        <w:t xml:space="preserve"> Socioeconomic support for TB-affected households is recommended despite but evidence is sparse. We therefore evaluated a socioeconomic intervention aiming to strengthen biomedical TB control.</w:t>
      </w:r>
    </w:p>
    <w:p w:rsidR="00D03B13" w:rsidRPr="00840383" w:rsidRDefault="00D03B13" w:rsidP="00D03B13">
      <w:pPr>
        <w:jc w:val="both"/>
        <w:rPr>
          <w:rFonts w:asciiTheme="minorHAnsi" w:eastAsia="Cambria" w:hAnsiTheme="minorHAnsi" w:cstheme="minorHAnsi"/>
          <w:sz w:val="22"/>
          <w:szCs w:val="22"/>
          <w:lang w:val="en-GB"/>
        </w:rPr>
      </w:pPr>
    </w:p>
    <w:p w:rsidR="00D03B13" w:rsidRPr="00840383" w:rsidRDefault="00D03B13" w:rsidP="00D03B13">
      <w:pPr>
        <w:jc w:val="both"/>
        <w:rPr>
          <w:rFonts w:asciiTheme="minorHAnsi" w:eastAsia="Cambria" w:hAnsiTheme="minorHAnsi" w:cstheme="minorHAnsi"/>
          <w:sz w:val="22"/>
          <w:szCs w:val="22"/>
          <w:lang w:val="en-GB"/>
        </w:rPr>
      </w:pPr>
      <w:r w:rsidRPr="005C4EE0">
        <w:rPr>
          <w:rFonts w:ascii="Arial" w:eastAsia="Cambria" w:hAnsi="Arial" w:cs="Arial"/>
          <w:b/>
          <w:sz w:val="22"/>
          <w:szCs w:val="22"/>
          <w:lang w:val="en-GB"/>
        </w:rPr>
        <w:t>Setting:</w:t>
      </w:r>
      <w:r w:rsidRPr="00840383">
        <w:rPr>
          <w:rFonts w:asciiTheme="minorHAnsi" w:eastAsia="Cambria" w:hAnsiTheme="minorHAnsi" w:cstheme="minorHAnsi"/>
          <w:b/>
          <w:sz w:val="22"/>
          <w:szCs w:val="22"/>
          <w:lang w:val="en-GB"/>
        </w:rPr>
        <w:t xml:space="preserve"> </w:t>
      </w:r>
      <w:r w:rsidRPr="00840383">
        <w:rPr>
          <w:rFonts w:asciiTheme="minorHAnsi" w:eastAsia="Cambria" w:hAnsiTheme="minorHAnsi" w:cstheme="minorHAnsi"/>
          <w:sz w:val="22"/>
          <w:szCs w:val="22"/>
          <w:lang w:val="en-GB"/>
        </w:rPr>
        <w:t>The Innovative Socioeconomic Interventions Against TB (ISIAT) project in 16 shantytowns, Lima, Peru (2007-13).</w:t>
      </w:r>
    </w:p>
    <w:p w:rsidR="00D03B13" w:rsidRPr="00840383" w:rsidRDefault="00D03B13" w:rsidP="00D03B13">
      <w:pPr>
        <w:jc w:val="both"/>
        <w:rPr>
          <w:rFonts w:asciiTheme="minorHAnsi" w:eastAsia="Cambria" w:hAnsiTheme="minorHAnsi" w:cstheme="minorHAnsi"/>
          <w:b/>
          <w:sz w:val="22"/>
          <w:szCs w:val="22"/>
          <w:lang w:val="en-GB"/>
        </w:rPr>
      </w:pPr>
    </w:p>
    <w:p w:rsidR="00D03B13" w:rsidRPr="00840383" w:rsidRDefault="00D03B13" w:rsidP="00D03B13">
      <w:pPr>
        <w:jc w:val="both"/>
        <w:rPr>
          <w:rFonts w:asciiTheme="minorHAnsi" w:eastAsia="Cambria" w:hAnsiTheme="minorHAnsi" w:cstheme="minorHAnsi"/>
          <w:sz w:val="22"/>
          <w:szCs w:val="22"/>
          <w:lang w:val="en-GB"/>
        </w:rPr>
      </w:pPr>
      <w:r w:rsidRPr="005C4EE0">
        <w:rPr>
          <w:rFonts w:ascii="Arial" w:eastAsia="Cambria" w:hAnsi="Arial" w:cs="Arial"/>
          <w:b/>
          <w:sz w:val="22"/>
          <w:szCs w:val="22"/>
          <w:lang w:val="en-GB"/>
        </w:rPr>
        <w:t>Process:</w:t>
      </w:r>
      <w:r w:rsidRPr="00840383">
        <w:rPr>
          <w:rFonts w:asciiTheme="minorHAnsi" w:eastAsia="Cambria" w:hAnsiTheme="minorHAnsi" w:cstheme="minorHAnsi"/>
          <w:sz w:val="22"/>
          <w:szCs w:val="22"/>
          <w:lang w:val="en-GB"/>
        </w:rPr>
        <w:t xml:space="preserve"> </w:t>
      </w:r>
      <w:r w:rsidRPr="00840383">
        <w:rPr>
          <w:rFonts w:asciiTheme="minorHAnsi" w:eastAsia="Cambria" w:hAnsiTheme="minorHAnsi" w:cstheme="minorHAnsi"/>
          <w:sz w:val="22"/>
          <w:szCs w:val="22"/>
          <w:u w:val="single"/>
          <w:lang w:val="en-GB"/>
        </w:rPr>
        <w:t>Baseline studies</w:t>
      </w:r>
      <w:r w:rsidRPr="00840383">
        <w:rPr>
          <w:rFonts w:asciiTheme="minorHAnsi" w:eastAsia="Cambria" w:hAnsiTheme="minorHAnsi" w:cstheme="minorHAnsi"/>
          <w:sz w:val="22"/>
          <w:szCs w:val="22"/>
          <w:lang w:val="en-GB"/>
        </w:rPr>
        <w:t xml:space="preserve"> identified socioeconomic challenges to TB control: poverty associated with TB, delay and ignorance; TB and poverty associated with depression and marginalisation; adverse TB outcomes associated with poverty, ignorance, depression and marginalisation.</w:t>
      </w:r>
    </w:p>
    <w:p w:rsidR="00D03B13" w:rsidRPr="00840383" w:rsidRDefault="00D03B13" w:rsidP="00D03B13">
      <w:pPr>
        <w:jc w:val="both"/>
        <w:rPr>
          <w:rFonts w:asciiTheme="minorHAnsi" w:eastAsia="Cambria" w:hAnsiTheme="minorHAnsi" w:cstheme="minorHAnsi"/>
          <w:sz w:val="22"/>
          <w:szCs w:val="22"/>
          <w:lang w:val="en-GB"/>
        </w:rPr>
      </w:pPr>
      <w:r w:rsidRPr="00840383">
        <w:rPr>
          <w:rFonts w:asciiTheme="minorHAnsi" w:eastAsia="Cambria" w:hAnsiTheme="minorHAnsi" w:cstheme="minorHAnsi"/>
          <w:sz w:val="22"/>
          <w:szCs w:val="22"/>
          <w:lang w:val="en-GB"/>
        </w:rPr>
        <w:t xml:space="preserve">A </w:t>
      </w:r>
      <w:r w:rsidRPr="00840383">
        <w:rPr>
          <w:rFonts w:asciiTheme="minorHAnsi" w:eastAsia="Cambria" w:hAnsiTheme="minorHAnsi" w:cstheme="minorHAnsi"/>
          <w:sz w:val="22"/>
          <w:szCs w:val="22"/>
          <w:u w:val="single"/>
          <w:lang w:val="en-GB"/>
        </w:rPr>
        <w:t>conceptual framework</w:t>
      </w:r>
      <w:r w:rsidRPr="00840383">
        <w:rPr>
          <w:rFonts w:asciiTheme="minorHAnsi" w:eastAsia="Cambria" w:hAnsiTheme="minorHAnsi" w:cstheme="minorHAnsi"/>
          <w:sz w:val="22"/>
          <w:szCs w:val="22"/>
          <w:lang w:val="en-GB"/>
        </w:rPr>
        <w:t xml:space="preserve"> (figure) was developed around key steps for TB control (green) and biomedical objectives (blue). Economic objectives (red) include: (1) mitigating TB costs; (2) facilitating access to TB care; (3) reducing TB susceptibility; and (4) improving living conditions to reduce TB exposure. Social support (yellow) may inform and empower equitable access to TB care.</w:t>
      </w:r>
    </w:p>
    <w:p w:rsidR="00D03B13" w:rsidRPr="00840383" w:rsidRDefault="00D03B13" w:rsidP="00D03B13">
      <w:pPr>
        <w:jc w:val="both"/>
        <w:rPr>
          <w:rFonts w:asciiTheme="minorHAnsi" w:eastAsia="Cambria" w:hAnsiTheme="minorHAnsi" w:cstheme="minorHAnsi"/>
          <w:sz w:val="22"/>
          <w:szCs w:val="22"/>
          <w:lang w:val="en-GB"/>
        </w:rPr>
      </w:pPr>
      <w:r w:rsidRPr="00840383">
        <w:rPr>
          <w:rFonts w:asciiTheme="minorHAnsi" w:eastAsia="Cambria" w:hAnsiTheme="minorHAnsi" w:cstheme="minorHAnsi"/>
          <w:sz w:val="22"/>
          <w:szCs w:val="22"/>
          <w:u w:val="single"/>
          <w:lang w:val="en-GB"/>
        </w:rPr>
        <w:t>Socioeconomic support</w:t>
      </w:r>
      <w:r w:rsidRPr="00840383">
        <w:rPr>
          <w:rFonts w:asciiTheme="minorHAnsi" w:eastAsia="Cambria" w:hAnsiTheme="minorHAnsi" w:cstheme="minorHAnsi"/>
          <w:sz w:val="22"/>
          <w:szCs w:val="22"/>
          <w:lang w:val="en-GB"/>
        </w:rPr>
        <w:t xml:space="preserve"> was offered to the households of newly diagnosed TB patients. Economic support was provided by cash and food transfers with soft conditionality on continuing TB care. Microcredits and training had less success but incentivised participation. Social support was provided by health worker household visits, workshops and a psychologist.  </w:t>
      </w:r>
    </w:p>
    <w:p w:rsidR="00D03B13" w:rsidRPr="00840383" w:rsidRDefault="00D03B13" w:rsidP="00D03B13">
      <w:pPr>
        <w:jc w:val="both"/>
        <w:rPr>
          <w:rFonts w:asciiTheme="minorHAnsi" w:eastAsia="Cambria" w:hAnsiTheme="minorHAnsi" w:cstheme="minorHAnsi"/>
          <w:sz w:val="22"/>
          <w:szCs w:val="22"/>
          <w:lang w:val="en-GB"/>
        </w:rPr>
      </w:pPr>
      <w:r w:rsidRPr="00840383">
        <w:rPr>
          <w:rFonts w:asciiTheme="minorHAnsi" w:eastAsia="Cambria" w:hAnsiTheme="minorHAnsi" w:cstheme="minorHAnsi"/>
          <w:sz w:val="22"/>
          <w:szCs w:val="22"/>
          <w:u w:val="single"/>
          <w:lang w:val="en-GB"/>
        </w:rPr>
        <w:t>Impacts</w:t>
      </w:r>
      <w:r w:rsidRPr="00840383">
        <w:rPr>
          <w:rFonts w:asciiTheme="minorHAnsi" w:eastAsia="Cambria" w:hAnsiTheme="minorHAnsi" w:cstheme="minorHAnsi"/>
          <w:sz w:val="22"/>
          <w:szCs w:val="22"/>
          <w:lang w:val="en-GB"/>
        </w:rPr>
        <w:t>: (1) economic support mitigated TB costs; (2) socioeconomic support increased TB treatment adherence and equitably increased preventive therapy; (3) economic and nutritional outcomes are being monitored, but microcredit loans did not improve poverty indicators; and (4) economic development and support reduced household ventilation and increased crowding, potentially increasing TB transmission. Social support formed a mutually supportive civil society of TB-affected households advocating for improved care.</w:t>
      </w:r>
    </w:p>
    <w:p w:rsidR="00D03B13" w:rsidRPr="00840383" w:rsidRDefault="00D03B13" w:rsidP="00D03B13">
      <w:pPr>
        <w:jc w:val="both"/>
        <w:rPr>
          <w:rFonts w:asciiTheme="minorHAnsi" w:eastAsia="Cambria" w:hAnsiTheme="minorHAnsi" w:cstheme="minorHAnsi"/>
          <w:b/>
          <w:sz w:val="22"/>
          <w:szCs w:val="22"/>
          <w:lang w:val="en-GB"/>
        </w:rPr>
      </w:pPr>
    </w:p>
    <w:p w:rsidR="00D03B13" w:rsidRPr="00840383" w:rsidRDefault="00D03B13" w:rsidP="00D03B13">
      <w:pPr>
        <w:jc w:val="both"/>
        <w:rPr>
          <w:rFonts w:asciiTheme="minorHAnsi" w:hAnsiTheme="minorHAnsi"/>
          <w:sz w:val="22"/>
          <w:szCs w:val="22"/>
        </w:rPr>
      </w:pPr>
      <w:r w:rsidRPr="00840383">
        <w:rPr>
          <w:rFonts w:asciiTheme="minorHAnsi" w:eastAsia="Cambria" w:hAnsiTheme="minorHAnsi" w:cstheme="minorHAnsi"/>
          <w:b/>
          <w:sz w:val="22"/>
          <w:szCs w:val="22"/>
          <w:lang w:val="en-GB"/>
        </w:rPr>
        <w:t>Conclusion</w:t>
      </w:r>
      <w:r w:rsidRPr="00840383">
        <w:rPr>
          <w:rFonts w:asciiTheme="minorHAnsi" w:eastAsia="Cambria" w:hAnsiTheme="minorHAnsi" w:cstheme="minorHAnsi"/>
          <w:sz w:val="22"/>
          <w:szCs w:val="22"/>
          <w:lang w:val="en-GB"/>
        </w:rPr>
        <w:t>: An integrated socioeconomic intervention strengthened equitable access to biomedical TB treatment and prevention.</w:t>
      </w:r>
    </w:p>
    <w:p w:rsidR="00D03B13" w:rsidRDefault="00D03B13" w:rsidP="00D03B13">
      <w:pPr>
        <w:rPr>
          <w:rFonts w:ascii="Verdana" w:hAnsi="Verdana"/>
          <w:sz w:val="22"/>
          <w:szCs w:val="22"/>
        </w:rPr>
      </w:pPr>
    </w:p>
    <w:tbl>
      <w:tblPr>
        <w:tblW w:w="0" w:type="auto"/>
        <w:tblInd w:w="108" w:type="dxa"/>
        <w:tblCellMar>
          <w:left w:w="0" w:type="dxa"/>
          <w:right w:w="0" w:type="dxa"/>
        </w:tblCellMar>
        <w:tblLook w:val="04A0" w:firstRow="1" w:lastRow="0" w:firstColumn="1" w:lastColumn="0" w:noHBand="0" w:noVBand="1"/>
      </w:tblPr>
      <w:tblGrid>
        <w:gridCol w:w="2682"/>
        <w:gridCol w:w="6216"/>
      </w:tblGrid>
      <w:tr w:rsidR="00D03B13" w:rsidRPr="00BB5B7D" w:rsidTr="00C53112">
        <w:tc>
          <w:tcPr>
            <w:tcW w:w="2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03B13" w:rsidRPr="00BB5B7D" w:rsidRDefault="00D03B13" w:rsidP="00C53112">
            <w:pPr>
              <w:spacing w:before="100" w:beforeAutospacing="1" w:after="100" w:afterAutospacing="1"/>
              <w:rPr>
                <w:rFonts w:asciiTheme="minorHAnsi" w:hAnsiTheme="minorHAnsi"/>
                <w:sz w:val="22"/>
                <w:szCs w:val="22"/>
              </w:rPr>
            </w:pPr>
            <w:r w:rsidRPr="00BB5B7D">
              <w:rPr>
                <w:rFonts w:asciiTheme="minorHAnsi" w:hAnsiTheme="minorHAnsi"/>
                <w:b/>
                <w:bCs/>
                <w:color w:val="0000FF"/>
                <w:sz w:val="22"/>
                <w:szCs w:val="22"/>
                <w:lang w:val="en-GB"/>
              </w:rPr>
              <w:t>Reference of your abstract</w:t>
            </w:r>
          </w:p>
        </w:tc>
        <w:tc>
          <w:tcPr>
            <w:tcW w:w="62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3B13" w:rsidRPr="00BB5B7D" w:rsidRDefault="00D03B13" w:rsidP="00C53112">
            <w:pPr>
              <w:spacing w:before="100" w:beforeAutospacing="1" w:after="100" w:afterAutospacing="1"/>
              <w:rPr>
                <w:rFonts w:asciiTheme="minorHAnsi" w:hAnsiTheme="minorHAnsi"/>
                <w:sz w:val="22"/>
                <w:szCs w:val="22"/>
              </w:rPr>
            </w:pPr>
          </w:p>
        </w:tc>
      </w:tr>
      <w:tr w:rsidR="00D03B13" w:rsidRPr="00BB5B7D" w:rsidTr="00C53112">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3B13" w:rsidRPr="00BB5B7D" w:rsidRDefault="00D03B13" w:rsidP="00C53112">
            <w:pPr>
              <w:spacing w:before="100" w:beforeAutospacing="1" w:after="100" w:afterAutospacing="1"/>
              <w:rPr>
                <w:rFonts w:asciiTheme="minorHAnsi" w:hAnsiTheme="minorHAnsi"/>
                <w:sz w:val="22"/>
                <w:szCs w:val="22"/>
              </w:rPr>
            </w:pPr>
            <w:r w:rsidRPr="00BB5B7D">
              <w:rPr>
                <w:rFonts w:asciiTheme="minorHAnsi" w:hAnsiTheme="minorHAnsi"/>
                <w:b/>
                <w:bCs/>
                <w:color w:val="0000FF"/>
                <w:sz w:val="22"/>
                <w:szCs w:val="22"/>
                <w:lang w:val="en-GB"/>
              </w:rPr>
              <w:t>Title of abstract</w:t>
            </w:r>
          </w:p>
        </w:tc>
        <w:tc>
          <w:tcPr>
            <w:tcW w:w="6252" w:type="dxa"/>
            <w:tcBorders>
              <w:top w:val="nil"/>
              <w:left w:val="nil"/>
              <w:bottom w:val="single" w:sz="8" w:space="0" w:color="auto"/>
              <w:right w:val="single" w:sz="8" w:space="0" w:color="auto"/>
            </w:tcBorders>
            <w:tcMar>
              <w:top w:w="0" w:type="dxa"/>
              <w:left w:w="108" w:type="dxa"/>
              <w:bottom w:w="0" w:type="dxa"/>
              <w:right w:w="108" w:type="dxa"/>
            </w:tcMar>
            <w:hideMark/>
          </w:tcPr>
          <w:p w:rsidR="00D03B13" w:rsidRPr="00BB5B7D" w:rsidRDefault="00D03B13" w:rsidP="00C53112">
            <w:pPr>
              <w:spacing w:before="100" w:beforeAutospacing="1" w:after="100" w:afterAutospacing="1"/>
              <w:rPr>
                <w:rFonts w:asciiTheme="minorHAnsi" w:hAnsiTheme="minorHAnsi"/>
                <w:sz w:val="22"/>
                <w:szCs w:val="22"/>
              </w:rPr>
            </w:pPr>
            <w:r w:rsidRPr="00C03C2B">
              <w:rPr>
                <w:rFonts w:asciiTheme="minorHAnsi" w:hAnsiTheme="minorHAnsi"/>
                <w:color w:val="0000FF"/>
                <w:sz w:val="22"/>
                <w:szCs w:val="22"/>
              </w:rPr>
              <w:t>Innovative community-based partnerships to reach the unreached</w:t>
            </w:r>
          </w:p>
        </w:tc>
      </w:tr>
      <w:tr w:rsidR="00D03B13" w:rsidRPr="00BB5B7D" w:rsidTr="00C53112">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3B13" w:rsidRPr="00BB5B7D" w:rsidRDefault="00D03B13" w:rsidP="00C53112">
            <w:pPr>
              <w:spacing w:before="100" w:beforeAutospacing="1" w:after="100" w:afterAutospacing="1"/>
              <w:rPr>
                <w:rFonts w:asciiTheme="minorHAnsi" w:hAnsiTheme="minorHAnsi"/>
                <w:sz w:val="22"/>
                <w:szCs w:val="22"/>
              </w:rPr>
            </w:pPr>
            <w:r w:rsidRPr="00BB5B7D">
              <w:rPr>
                <w:rFonts w:asciiTheme="minorHAnsi" w:hAnsiTheme="minorHAnsi"/>
                <w:b/>
                <w:bCs/>
                <w:color w:val="0000FF"/>
                <w:sz w:val="22"/>
                <w:szCs w:val="22"/>
                <w:lang w:val="en-GB"/>
              </w:rPr>
              <w:t>Type of session</w:t>
            </w:r>
          </w:p>
        </w:tc>
        <w:tc>
          <w:tcPr>
            <w:tcW w:w="6252" w:type="dxa"/>
            <w:tcBorders>
              <w:top w:val="nil"/>
              <w:left w:val="nil"/>
              <w:bottom w:val="single" w:sz="8" w:space="0" w:color="auto"/>
              <w:right w:val="single" w:sz="8" w:space="0" w:color="auto"/>
            </w:tcBorders>
            <w:tcMar>
              <w:top w:w="0" w:type="dxa"/>
              <w:left w:w="108" w:type="dxa"/>
              <w:bottom w:w="0" w:type="dxa"/>
              <w:right w:w="108" w:type="dxa"/>
            </w:tcMar>
            <w:hideMark/>
          </w:tcPr>
          <w:p w:rsidR="00D03B13" w:rsidRPr="00BB5B7D" w:rsidRDefault="00D03B13" w:rsidP="00C53112">
            <w:pPr>
              <w:spacing w:before="100" w:beforeAutospacing="1" w:after="100" w:afterAutospacing="1"/>
              <w:rPr>
                <w:rFonts w:asciiTheme="minorHAnsi" w:hAnsiTheme="minorHAnsi"/>
                <w:sz w:val="22"/>
                <w:szCs w:val="22"/>
              </w:rPr>
            </w:pPr>
            <w:r>
              <w:rPr>
                <w:rFonts w:asciiTheme="minorHAnsi" w:hAnsiTheme="minorHAnsi"/>
                <w:color w:val="0000FF"/>
                <w:sz w:val="22"/>
                <w:szCs w:val="22"/>
                <w:lang w:val="en-GB"/>
              </w:rPr>
              <w:t>Symposium</w:t>
            </w:r>
            <w:r w:rsidRPr="00BB5B7D">
              <w:rPr>
                <w:rFonts w:asciiTheme="minorHAnsi" w:hAnsiTheme="minorHAnsi"/>
                <w:color w:val="0000FF"/>
                <w:sz w:val="22"/>
                <w:szCs w:val="22"/>
                <w:lang w:val="en-GB"/>
              </w:rPr>
              <w:t xml:space="preserve"> Session</w:t>
            </w:r>
          </w:p>
        </w:tc>
      </w:tr>
      <w:tr w:rsidR="00D03B13" w:rsidRPr="00BB5B7D" w:rsidTr="00C53112">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3B13" w:rsidRPr="00BB5B7D" w:rsidRDefault="00D03B13" w:rsidP="00C53112">
            <w:pPr>
              <w:spacing w:before="100" w:beforeAutospacing="1" w:after="100" w:afterAutospacing="1"/>
              <w:rPr>
                <w:rFonts w:asciiTheme="minorHAnsi" w:hAnsiTheme="minorHAnsi"/>
                <w:sz w:val="22"/>
                <w:szCs w:val="22"/>
              </w:rPr>
            </w:pPr>
            <w:r w:rsidRPr="00BB5B7D">
              <w:rPr>
                <w:rFonts w:asciiTheme="minorHAnsi" w:hAnsiTheme="minorHAnsi"/>
                <w:b/>
                <w:bCs/>
                <w:color w:val="0000FF"/>
                <w:sz w:val="22"/>
                <w:szCs w:val="22"/>
                <w:lang w:val="en-GB"/>
              </w:rPr>
              <w:t>Title of session</w:t>
            </w:r>
          </w:p>
        </w:tc>
        <w:tc>
          <w:tcPr>
            <w:tcW w:w="6252" w:type="dxa"/>
            <w:tcBorders>
              <w:top w:val="nil"/>
              <w:left w:val="nil"/>
              <w:bottom w:val="single" w:sz="8" w:space="0" w:color="auto"/>
              <w:right w:val="single" w:sz="8" w:space="0" w:color="auto"/>
            </w:tcBorders>
            <w:tcMar>
              <w:top w:w="0" w:type="dxa"/>
              <w:left w:w="108" w:type="dxa"/>
              <w:bottom w:w="0" w:type="dxa"/>
              <w:right w:w="108" w:type="dxa"/>
            </w:tcMar>
            <w:hideMark/>
          </w:tcPr>
          <w:p w:rsidR="00D03B13" w:rsidRPr="00BB5B7D" w:rsidRDefault="00D03B13" w:rsidP="00C53112">
            <w:pPr>
              <w:spacing w:before="100" w:beforeAutospacing="1" w:after="100" w:afterAutospacing="1"/>
              <w:rPr>
                <w:rFonts w:asciiTheme="minorHAnsi" w:hAnsiTheme="minorHAnsi"/>
                <w:sz w:val="22"/>
                <w:szCs w:val="22"/>
              </w:rPr>
            </w:pPr>
            <w:r w:rsidRPr="00C03C2B">
              <w:rPr>
                <w:rFonts w:asciiTheme="minorHAnsi" w:hAnsiTheme="minorHAnsi"/>
                <w:color w:val="0000FF"/>
                <w:sz w:val="22"/>
                <w:szCs w:val="22"/>
              </w:rPr>
              <w:t>A community-based approach to reaching the missing "3" million</w:t>
            </w:r>
          </w:p>
        </w:tc>
      </w:tr>
      <w:tr w:rsidR="00D03B13" w:rsidRPr="00BB5B7D" w:rsidTr="00C53112">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3B13" w:rsidRPr="00BB5B7D" w:rsidRDefault="00D03B13" w:rsidP="00C53112">
            <w:pPr>
              <w:spacing w:before="100" w:beforeAutospacing="1" w:after="100" w:afterAutospacing="1"/>
              <w:jc w:val="both"/>
              <w:rPr>
                <w:rFonts w:asciiTheme="minorHAnsi" w:hAnsiTheme="minorHAnsi"/>
                <w:sz w:val="22"/>
                <w:szCs w:val="22"/>
              </w:rPr>
            </w:pPr>
            <w:r w:rsidRPr="00BB5B7D">
              <w:rPr>
                <w:rFonts w:asciiTheme="minorHAnsi" w:hAnsiTheme="minorHAnsi"/>
                <w:b/>
                <w:bCs/>
                <w:color w:val="0000FF"/>
                <w:sz w:val="22"/>
                <w:szCs w:val="22"/>
                <w:lang w:val="en-GB"/>
              </w:rPr>
              <w:t>Date and time</w:t>
            </w:r>
          </w:p>
        </w:tc>
        <w:tc>
          <w:tcPr>
            <w:tcW w:w="6252" w:type="dxa"/>
            <w:tcBorders>
              <w:top w:val="nil"/>
              <w:left w:val="nil"/>
              <w:bottom w:val="single" w:sz="8" w:space="0" w:color="auto"/>
              <w:right w:val="single" w:sz="8" w:space="0" w:color="auto"/>
            </w:tcBorders>
            <w:tcMar>
              <w:top w:w="0" w:type="dxa"/>
              <w:left w:w="108" w:type="dxa"/>
              <w:bottom w:w="0" w:type="dxa"/>
              <w:right w:w="108" w:type="dxa"/>
            </w:tcMar>
            <w:hideMark/>
          </w:tcPr>
          <w:p w:rsidR="00D03B13" w:rsidRPr="00BB5B7D" w:rsidRDefault="00D03B13" w:rsidP="00C53112">
            <w:pPr>
              <w:spacing w:before="100" w:beforeAutospacing="1" w:after="100" w:afterAutospacing="1"/>
              <w:jc w:val="both"/>
              <w:rPr>
                <w:rFonts w:asciiTheme="minorHAnsi" w:hAnsiTheme="minorHAnsi"/>
                <w:sz w:val="22"/>
                <w:szCs w:val="22"/>
              </w:rPr>
            </w:pPr>
            <w:r w:rsidRPr="00BB5B7D">
              <w:rPr>
                <w:rFonts w:asciiTheme="minorHAnsi" w:hAnsiTheme="minorHAnsi"/>
                <w:color w:val="0000FF"/>
                <w:sz w:val="22"/>
                <w:szCs w:val="22"/>
              </w:rPr>
              <w:t>Friday, 4 December 2015 from 1</w:t>
            </w:r>
            <w:r>
              <w:rPr>
                <w:rFonts w:asciiTheme="minorHAnsi" w:hAnsiTheme="minorHAnsi"/>
                <w:color w:val="0000FF"/>
                <w:sz w:val="22"/>
                <w:szCs w:val="22"/>
              </w:rPr>
              <w:t>5</w:t>
            </w:r>
            <w:r w:rsidRPr="00BB5B7D">
              <w:rPr>
                <w:rFonts w:asciiTheme="minorHAnsi" w:hAnsiTheme="minorHAnsi"/>
                <w:color w:val="0000FF"/>
                <w:sz w:val="22"/>
                <w:szCs w:val="22"/>
              </w:rPr>
              <w:t>:30 to 1</w:t>
            </w:r>
            <w:r>
              <w:rPr>
                <w:rFonts w:asciiTheme="minorHAnsi" w:hAnsiTheme="minorHAnsi"/>
                <w:color w:val="0000FF"/>
                <w:sz w:val="22"/>
                <w:szCs w:val="22"/>
              </w:rPr>
              <w:t>7</w:t>
            </w:r>
            <w:r w:rsidRPr="00BB5B7D">
              <w:rPr>
                <w:rFonts w:asciiTheme="minorHAnsi" w:hAnsiTheme="minorHAnsi"/>
                <w:color w:val="0000FF"/>
                <w:sz w:val="22"/>
                <w:szCs w:val="22"/>
              </w:rPr>
              <w:t>:00</w:t>
            </w:r>
          </w:p>
        </w:tc>
      </w:tr>
      <w:tr w:rsidR="00D03B13" w:rsidRPr="00BB5B7D" w:rsidTr="00C53112">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3B13" w:rsidRPr="00BB5B7D" w:rsidRDefault="00D03B13" w:rsidP="00C53112">
            <w:pPr>
              <w:spacing w:before="100" w:beforeAutospacing="1" w:after="100" w:afterAutospacing="1"/>
              <w:jc w:val="both"/>
              <w:rPr>
                <w:rFonts w:asciiTheme="minorHAnsi" w:hAnsiTheme="minorHAnsi"/>
                <w:sz w:val="22"/>
                <w:szCs w:val="22"/>
              </w:rPr>
            </w:pPr>
            <w:r w:rsidRPr="00BB5B7D">
              <w:rPr>
                <w:rFonts w:asciiTheme="minorHAnsi" w:hAnsiTheme="minorHAnsi"/>
                <w:b/>
                <w:bCs/>
                <w:color w:val="0000FF"/>
                <w:sz w:val="22"/>
                <w:szCs w:val="22"/>
                <w:lang w:val="en-GB"/>
              </w:rPr>
              <w:t xml:space="preserve">Room </w:t>
            </w:r>
          </w:p>
        </w:tc>
        <w:tc>
          <w:tcPr>
            <w:tcW w:w="6252" w:type="dxa"/>
            <w:tcBorders>
              <w:top w:val="nil"/>
              <w:left w:val="nil"/>
              <w:bottom w:val="single" w:sz="8" w:space="0" w:color="auto"/>
              <w:right w:val="single" w:sz="8" w:space="0" w:color="auto"/>
            </w:tcBorders>
            <w:tcMar>
              <w:top w:w="0" w:type="dxa"/>
              <w:left w:w="108" w:type="dxa"/>
              <w:bottom w:w="0" w:type="dxa"/>
              <w:right w:w="108" w:type="dxa"/>
            </w:tcMar>
            <w:hideMark/>
          </w:tcPr>
          <w:p w:rsidR="00D03B13" w:rsidRPr="00BB5B7D" w:rsidRDefault="00D03B13" w:rsidP="00C53112">
            <w:pPr>
              <w:spacing w:before="100" w:beforeAutospacing="1" w:after="100" w:afterAutospacing="1"/>
              <w:jc w:val="both"/>
              <w:rPr>
                <w:rFonts w:asciiTheme="minorHAnsi" w:hAnsiTheme="minorHAnsi"/>
                <w:sz w:val="22"/>
                <w:szCs w:val="22"/>
              </w:rPr>
            </w:pPr>
            <w:r w:rsidRPr="00BB5B7D">
              <w:rPr>
                <w:rFonts w:asciiTheme="minorHAnsi" w:hAnsiTheme="minorHAnsi"/>
                <w:color w:val="0000FF"/>
                <w:sz w:val="22"/>
                <w:szCs w:val="22"/>
              </w:rPr>
              <w:t>Announced in the Final Programme of the conference</w:t>
            </w:r>
          </w:p>
        </w:tc>
      </w:tr>
    </w:tbl>
    <w:p w:rsidR="00D03B13" w:rsidRPr="00840383" w:rsidRDefault="00D03B13" w:rsidP="00D03B13">
      <w:pPr>
        <w:rPr>
          <w:rFonts w:ascii="Verdana" w:hAnsi="Verdana"/>
          <w:sz w:val="22"/>
          <w:szCs w:val="22"/>
        </w:rPr>
      </w:pPr>
      <w:r w:rsidRPr="00840383">
        <w:rPr>
          <w:rFonts w:ascii="Verdana" w:hAnsi="Verdana"/>
          <w:noProof/>
          <w:sz w:val="22"/>
          <w:szCs w:val="22"/>
          <w:lang w:val="es-PE" w:eastAsia="es-PE"/>
        </w:rPr>
        <w:lastRenderedPageBreak/>
        <w:drawing>
          <wp:anchor distT="0" distB="0" distL="114300" distR="114300" simplePos="0" relativeHeight="251659264" behindDoc="0" locked="0" layoutInCell="1" allowOverlap="1" wp14:anchorId="7076B015" wp14:editId="144E098C">
            <wp:simplePos x="0" y="0"/>
            <wp:positionH relativeFrom="margin">
              <wp:posOffset>-920750</wp:posOffset>
            </wp:positionH>
            <wp:positionV relativeFrom="margin">
              <wp:posOffset>444500</wp:posOffset>
            </wp:positionV>
            <wp:extent cx="7512050" cy="5486400"/>
            <wp:effectExtent l="19050" t="0" r="0" b="0"/>
            <wp:wrapSquare wrapText="bothSides"/>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12050" cy="5486400"/>
                    </a:xfrm>
                    <a:prstGeom prst="rect">
                      <a:avLst/>
                    </a:prstGeom>
                    <a:noFill/>
                    <a:ln>
                      <a:noFill/>
                    </a:ln>
                  </pic:spPr>
                </pic:pic>
              </a:graphicData>
            </a:graphic>
          </wp:anchor>
        </w:drawing>
      </w:r>
    </w:p>
    <w:p w:rsidR="002B3F30" w:rsidRDefault="002B3F30"/>
    <w:sectPr w:rsidR="002B3F3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8C9" w:rsidRDefault="004C18C9" w:rsidP="00D03B13">
      <w:r>
        <w:separator/>
      </w:r>
    </w:p>
  </w:endnote>
  <w:endnote w:type="continuationSeparator" w:id="0">
    <w:p w:rsidR="004C18C9" w:rsidRDefault="004C18C9" w:rsidP="00D0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53288"/>
      <w:docPartObj>
        <w:docPartGallery w:val="Page Numbers (Bottom of Page)"/>
        <w:docPartUnique/>
      </w:docPartObj>
    </w:sdtPr>
    <w:sdtEndPr>
      <w:rPr>
        <w:noProof/>
      </w:rPr>
    </w:sdtEndPr>
    <w:sdtContent>
      <w:p w:rsidR="00D03B13" w:rsidRDefault="00D03B13">
        <w:pPr>
          <w:pStyle w:val="Piedepgina"/>
          <w:jc w:val="right"/>
        </w:pPr>
        <w:r>
          <w:fldChar w:fldCharType="begin"/>
        </w:r>
        <w:r>
          <w:instrText xml:space="preserve"> PAGE   \* MERGEFORMAT </w:instrText>
        </w:r>
        <w:r>
          <w:fldChar w:fldCharType="separate"/>
        </w:r>
        <w:r w:rsidR="005C4EE0">
          <w:rPr>
            <w:noProof/>
          </w:rPr>
          <w:t>2</w:t>
        </w:r>
        <w:r>
          <w:rPr>
            <w:noProof/>
          </w:rPr>
          <w:fldChar w:fldCharType="end"/>
        </w:r>
      </w:p>
    </w:sdtContent>
  </w:sdt>
  <w:p w:rsidR="00D03B13" w:rsidRDefault="00D03B1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8C9" w:rsidRDefault="004C18C9" w:rsidP="00D03B13">
      <w:r>
        <w:separator/>
      </w:r>
    </w:p>
  </w:footnote>
  <w:footnote w:type="continuationSeparator" w:id="0">
    <w:p w:rsidR="004C18C9" w:rsidRDefault="004C18C9" w:rsidP="00D03B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D73109"/>
    <w:multiLevelType w:val="hybridMultilevel"/>
    <w:tmpl w:val="CB90FF4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B13"/>
    <w:rsid w:val="002B3F30"/>
    <w:rsid w:val="004C18C9"/>
    <w:rsid w:val="005C4EE0"/>
    <w:rsid w:val="009E4E0F"/>
    <w:rsid w:val="00D03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C78F8-7A3F-4687-A0BE-AD4C236D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B13"/>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D03B13"/>
    <w:pPr>
      <w:spacing w:before="240" w:after="60"/>
      <w:jc w:val="center"/>
      <w:outlineLvl w:val="0"/>
    </w:pPr>
    <w:rPr>
      <w:rFonts w:ascii="Cambria" w:hAnsi="Cambria"/>
      <w:b/>
      <w:bCs/>
      <w:kern w:val="28"/>
      <w:sz w:val="32"/>
      <w:szCs w:val="32"/>
    </w:rPr>
  </w:style>
  <w:style w:type="character" w:customStyle="1" w:styleId="PuestoCar">
    <w:name w:val="Puesto Car"/>
    <w:basedOn w:val="Fuentedeprrafopredeter"/>
    <w:link w:val="Puesto"/>
    <w:uiPriority w:val="10"/>
    <w:rsid w:val="00D03B13"/>
    <w:rPr>
      <w:rFonts w:ascii="Cambria" w:eastAsia="Times New Roman" w:hAnsi="Cambria" w:cs="Times New Roman"/>
      <w:b/>
      <w:bCs/>
      <w:kern w:val="28"/>
      <w:sz w:val="32"/>
      <w:szCs w:val="32"/>
      <w:lang w:val="en-US"/>
    </w:rPr>
  </w:style>
  <w:style w:type="paragraph" w:styleId="Encabezado">
    <w:name w:val="header"/>
    <w:basedOn w:val="Normal"/>
    <w:link w:val="EncabezadoCar"/>
    <w:uiPriority w:val="99"/>
    <w:unhideWhenUsed/>
    <w:rsid w:val="00D03B13"/>
    <w:pPr>
      <w:tabs>
        <w:tab w:val="center" w:pos="4513"/>
        <w:tab w:val="right" w:pos="9026"/>
      </w:tabs>
    </w:pPr>
  </w:style>
  <w:style w:type="character" w:customStyle="1" w:styleId="EncabezadoCar">
    <w:name w:val="Encabezado Car"/>
    <w:basedOn w:val="Fuentedeprrafopredeter"/>
    <w:link w:val="Encabezado"/>
    <w:uiPriority w:val="99"/>
    <w:rsid w:val="00D03B13"/>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D03B13"/>
    <w:pPr>
      <w:tabs>
        <w:tab w:val="center" w:pos="4513"/>
        <w:tab w:val="right" w:pos="9026"/>
      </w:tabs>
    </w:pPr>
  </w:style>
  <w:style w:type="character" w:customStyle="1" w:styleId="PiedepginaCar">
    <w:name w:val="Pie de página Car"/>
    <w:basedOn w:val="Fuentedeprrafopredeter"/>
    <w:link w:val="Piedepgina"/>
    <w:uiPriority w:val="99"/>
    <w:rsid w:val="00D03B1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462</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M</dc:creator>
  <cp:keywords/>
  <dc:description/>
  <cp:lastModifiedBy>Mich G.</cp:lastModifiedBy>
  <cp:revision>2</cp:revision>
  <dcterms:created xsi:type="dcterms:W3CDTF">2020-06-25T11:48:00Z</dcterms:created>
  <dcterms:modified xsi:type="dcterms:W3CDTF">2020-06-26T21:21:00Z</dcterms:modified>
</cp:coreProperties>
</file>