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7A54" w14:textId="74DE39D1" w:rsidR="008720E0" w:rsidRPr="008720E0" w:rsidRDefault="008720E0" w:rsidP="00FE2CEB">
      <w:pPr>
        <w:spacing w:after="0"/>
        <w:rPr>
          <w:rFonts w:ascii="Calibri" w:hAnsi="Calibri" w:cs="Arial"/>
          <w:shd w:val="clear" w:color="auto" w:fill="FFFFFF"/>
        </w:rPr>
      </w:pPr>
      <w:r w:rsidRPr="008720E0">
        <w:rPr>
          <w:rFonts w:ascii="Calibri" w:hAnsi="Calibri" w:cs="Arial"/>
          <w:shd w:val="clear" w:color="auto" w:fill="FFFFFF"/>
        </w:rPr>
        <w:t>Tovar MA, Schumacher SG, Osorio C, Ramos E, Llacza M, Valencia T, Herrera B, Evans CA.</w:t>
      </w:r>
      <w:r w:rsidRPr="008720E0">
        <w:rPr>
          <w:rFonts w:ascii="Calibri" w:hAnsi="Calibri" w:cs="Arial"/>
        </w:rPr>
        <w:br/>
      </w:r>
      <w:r w:rsidRPr="008720E0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Comparación del diagnóstico de TB con la prueba de color MDR- / XDR-TB y MODS</w:t>
      </w:r>
      <w:r w:rsidRPr="008720E0">
        <w:rPr>
          <w:rFonts w:ascii="Calibri" w:hAnsi="Calibri" w:cs="Arial"/>
        </w:rPr>
        <w:br/>
      </w:r>
      <w:r w:rsidRPr="008720E0">
        <w:rPr>
          <w:rFonts w:ascii="Calibri" w:hAnsi="Calibri" w:cs="Arial"/>
          <w:shd w:val="clear" w:color="auto" w:fill="FFFFFF"/>
        </w:rPr>
        <w:t>Presentación de resumen PC-1270-29, 29 de octubre de 2011.</w:t>
      </w:r>
    </w:p>
    <w:p w14:paraId="1B201D62" w14:textId="498898F2" w:rsidR="008720E0" w:rsidRPr="0009160D" w:rsidRDefault="008720E0" w:rsidP="00FE2CEB">
      <w:pPr>
        <w:spacing w:after="0"/>
        <w:rPr>
          <w:rFonts w:ascii="Calibri" w:hAnsi="Calibri"/>
          <w:lang w:val="en-GB"/>
        </w:rPr>
      </w:pPr>
      <w:r w:rsidRPr="008720E0">
        <w:rPr>
          <w:rFonts w:ascii="Calibri" w:hAnsi="Calibri" w:cs="Arial"/>
          <w:shd w:val="clear" w:color="auto" w:fill="FFFFFF"/>
        </w:rPr>
        <w:t>En Actas de la 42ª Conferencia Mundial sobre Salud Pulmonar de la Unión Internacional contra la Tuberculosis y la Enfermedad Pulmonar (La Unión): 26–30 de octubre de 2011; Lille, Francia.</w:t>
      </w:r>
      <w:r w:rsidRPr="008720E0">
        <w:rPr>
          <w:rFonts w:ascii="Calibri" w:hAnsi="Calibri" w:cs="Arial"/>
        </w:rPr>
        <w:br/>
      </w:r>
      <w:r w:rsidRPr="0009160D">
        <w:rPr>
          <w:rStyle w:val="nfasis"/>
          <w:rFonts w:ascii="Calibri" w:hAnsi="Calibri" w:cs="Arial"/>
          <w:bdr w:val="none" w:sz="0" w:space="0" w:color="auto" w:frame="1"/>
          <w:shd w:val="clear" w:color="auto" w:fill="FFFFFF"/>
          <w:lang w:val="en-GB"/>
        </w:rPr>
        <w:t>International Journal of Tuberculosis and Lung Disease</w:t>
      </w:r>
      <w:r w:rsidRPr="0009160D">
        <w:rPr>
          <w:rFonts w:ascii="Calibri" w:hAnsi="Calibri" w:cs="Arial"/>
          <w:shd w:val="clear" w:color="auto" w:fill="FFFFFF"/>
          <w:lang w:val="en-GB"/>
        </w:rPr>
        <w:t> 2011;15(11 Suppl 3):S274.</w:t>
      </w:r>
      <w:r w:rsidRPr="0009160D">
        <w:rPr>
          <w:rFonts w:ascii="Calibri" w:hAnsi="Calibri" w:cs="Arial"/>
          <w:lang w:val="en-GB"/>
        </w:rPr>
        <w:br/>
      </w:r>
      <w:r w:rsidRPr="0009160D">
        <w:rPr>
          <w:rFonts w:ascii="Calibri" w:hAnsi="Calibri" w:cs="Arial"/>
          <w:shd w:val="clear" w:color="auto" w:fill="FFFFFF"/>
          <w:lang w:val="en-GB"/>
        </w:rPr>
        <w:t>Acceso abierto: </w:t>
      </w:r>
      <w:hyperlink r:id="rId4" w:history="1">
        <w:r w:rsidRPr="0009160D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  <w:lang w:val="en-GB"/>
          </w:rPr>
          <w:t>https://www.theunion.org/what-we-do/journals/ijtld/body/AbstractBook2011_Web.pdf</w:t>
        </w:r>
      </w:hyperlink>
    </w:p>
    <w:p w14:paraId="186062B8" w14:textId="67AF0545" w:rsidR="009B4456" w:rsidRPr="0009160D" w:rsidRDefault="009B4456" w:rsidP="00FE2CEB">
      <w:pPr>
        <w:spacing w:after="0"/>
        <w:rPr>
          <w:rFonts w:ascii="Calibri" w:hAnsi="Calibri"/>
          <w:lang w:val="en-GB"/>
        </w:rPr>
      </w:pPr>
    </w:p>
    <w:p w14:paraId="406A04D4" w14:textId="77777777" w:rsidR="009B4456" w:rsidRPr="0009160D" w:rsidRDefault="009B4456" w:rsidP="00FE2CEB">
      <w:pPr>
        <w:spacing w:after="0"/>
        <w:rPr>
          <w:rFonts w:ascii="Calibri" w:hAnsi="Calibri"/>
          <w:lang w:val="en-GB"/>
        </w:rPr>
      </w:pPr>
    </w:p>
    <w:p w14:paraId="5BAAE397" w14:textId="77777777" w:rsidR="009B4456" w:rsidRPr="009B4456" w:rsidRDefault="009B4456" w:rsidP="009B4456">
      <w:pPr>
        <w:spacing w:after="0"/>
        <w:jc w:val="both"/>
        <w:rPr>
          <w:rFonts w:ascii="Calibri" w:hAnsi="Calibri"/>
        </w:rPr>
      </w:pPr>
      <w:r w:rsidRPr="009B4456">
        <w:rPr>
          <w:rFonts w:ascii="Arial" w:hAnsi="Arial" w:cs="Arial"/>
          <w:b/>
          <w:bCs/>
        </w:rPr>
        <w:t>Antecedentes</w:t>
      </w:r>
      <w:r w:rsidRPr="009B4456">
        <w:rPr>
          <w:rFonts w:ascii="Calibri" w:hAnsi="Calibri"/>
        </w:rPr>
        <w:t>: El diagnóstico de TB microscópica negativa y MDR-TB puede lograrse mediante técnicas de cultivo sólido o líquido no comerciales que comparamos en Perú.</w:t>
      </w:r>
    </w:p>
    <w:p w14:paraId="45EA10DD" w14:textId="77777777" w:rsidR="009B4456" w:rsidRPr="009B4456" w:rsidRDefault="009B4456" w:rsidP="009B4456">
      <w:pPr>
        <w:spacing w:after="0"/>
        <w:jc w:val="both"/>
        <w:rPr>
          <w:rFonts w:ascii="Calibri" w:hAnsi="Calibri"/>
        </w:rPr>
      </w:pPr>
    </w:p>
    <w:p w14:paraId="3F95D589" w14:textId="77777777" w:rsidR="009B4456" w:rsidRPr="009B4456" w:rsidRDefault="009B4456" w:rsidP="009B4456">
      <w:pPr>
        <w:spacing w:after="0"/>
        <w:jc w:val="both"/>
        <w:rPr>
          <w:rFonts w:ascii="Calibri" w:hAnsi="Calibri"/>
        </w:rPr>
      </w:pPr>
      <w:r w:rsidRPr="009B4456">
        <w:rPr>
          <w:rFonts w:ascii="Arial" w:hAnsi="Arial" w:cs="Arial"/>
          <w:b/>
          <w:bCs/>
        </w:rPr>
        <w:t>Métodos</w:t>
      </w:r>
      <w:r w:rsidRPr="009B4456">
        <w:rPr>
          <w:rFonts w:ascii="Calibri" w:hAnsi="Calibri"/>
        </w:rPr>
        <w:t>: Los adultos (n = 544) con sospecha de TB proporcionaron esputo que se dividió entre:</w:t>
      </w:r>
    </w:p>
    <w:p w14:paraId="722DCE25" w14:textId="77777777" w:rsidR="009B4456" w:rsidRPr="0009160D" w:rsidRDefault="009B4456" w:rsidP="009B4456">
      <w:pPr>
        <w:spacing w:after="0"/>
        <w:jc w:val="both"/>
        <w:rPr>
          <w:rFonts w:ascii="Calibri" w:hAnsi="Calibri"/>
        </w:rPr>
      </w:pPr>
      <w:r w:rsidRPr="0009160D">
        <w:rPr>
          <w:rFonts w:ascii="Calibri" w:hAnsi="Calibri"/>
        </w:rPr>
        <w:t>1. Microscopía no concentrada de frotis de esputo de Ziehl-Neelsen;</w:t>
      </w:r>
    </w:p>
    <w:p w14:paraId="592F3885" w14:textId="2BFCB26A" w:rsidR="009B4456" w:rsidRPr="009B4456" w:rsidRDefault="009B4456" w:rsidP="009B4456">
      <w:pPr>
        <w:spacing w:after="0"/>
        <w:jc w:val="both"/>
        <w:rPr>
          <w:rFonts w:ascii="Calibri" w:hAnsi="Calibri"/>
        </w:rPr>
      </w:pPr>
      <w:r w:rsidRPr="009B4456">
        <w:rPr>
          <w:rFonts w:ascii="Calibri" w:hAnsi="Calibri"/>
        </w:rPr>
        <w:t>2. Cultivo sólido: la prueba de color MDR / XDRTB con desinfección en el recipiente de esputo, cuyo contenido se aplicó directamente</w:t>
      </w:r>
      <w:bookmarkStart w:id="0" w:name="_GoBack"/>
      <w:bookmarkEnd w:id="0"/>
      <w:r w:rsidRPr="009B4456">
        <w:rPr>
          <w:rFonts w:ascii="Calibri" w:hAnsi="Calibri"/>
        </w:rPr>
        <w:t xml:space="preserve"> al agar de capa fina que se selló, incubó y cambió de color si crecían microorganismos; y</w:t>
      </w:r>
      <w:r w:rsidR="002C5E56">
        <w:rPr>
          <w:rFonts w:ascii="Calibri" w:hAnsi="Calibri"/>
        </w:rPr>
        <w:t xml:space="preserve"> </w:t>
      </w:r>
      <w:r w:rsidRPr="009B4456">
        <w:rPr>
          <w:rFonts w:ascii="Calibri" w:hAnsi="Calibri"/>
        </w:rPr>
        <w:t>3. Cultivo líquido: la técnica MODS que descontaminó el esputo con NaOH y la centrifugación, se resuspendió en caldo, se incubó y se analizó microscópicamente para detectar el crecimiento de TB.</w:t>
      </w:r>
    </w:p>
    <w:p w14:paraId="039827E1" w14:textId="77777777" w:rsidR="009B4456" w:rsidRPr="009B4456" w:rsidRDefault="009B4456" w:rsidP="009B4456">
      <w:pPr>
        <w:spacing w:after="0"/>
        <w:jc w:val="both"/>
        <w:rPr>
          <w:rFonts w:ascii="Calibri" w:hAnsi="Calibri"/>
        </w:rPr>
      </w:pPr>
    </w:p>
    <w:p w14:paraId="482D4E5C" w14:textId="009ED070" w:rsidR="009B4456" w:rsidRPr="0009160D" w:rsidRDefault="009B4456" w:rsidP="009B4456">
      <w:pPr>
        <w:spacing w:after="0"/>
        <w:jc w:val="both"/>
        <w:rPr>
          <w:rFonts w:ascii="Calibri" w:hAnsi="Calibri"/>
        </w:rPr>
      </w:pPr>
      <w:r w:rsidRPr="0009160D">
        <w:rPr>
          <w:rFonts w:ascii="Arial" w:hAnsi="Arial" w:cs="Arial"/>
          <w:b/>
          <w:bCs/>
        </w:rPr>
        <w:t>Resultados</w:t>
      </w:r>
      <w:r w:rsidRPr="0009160D">
        <w:rPr>
          <w:rFonts w:ascii="Arial" w:hAnsi="Arial" w:cs="Arial"/>
        </w:rPr>
        <w:t>:</w:t>
      </w:r>
      <w:r w:rsidRPr="0009160D">
        <w:rPr>
          <w:rFonts w:ascii="Calibri" w:hAnsi="Calibri"/>
        </w:rPr>
        <w:t xml:space="preserve"> Menos cultivos sólidos que líquidos fallaron debido a resultados indeterminados o contaminados (6/544, 1.1% vs. 77/544, 14%, P &lt;0.0001). De 168 muestras positivas para cultivo con resultados totalmente interpretables, 156 (93%) fueron positivos por cultivo sólido frente a 164 (98%) por cultivo líquido (P = 0.08). De 189 muestras positivas para cultivo, 173 (92%) fueron positivas en cultivo sólido frente a 165 (87%) en cultivo líquido (P = 0.2). Microscopía detectó 125 (66%) de las muestras positivas para cultivo, menos que cualquiera de las técnicas de cultivo (P &lt;0,0001). La microscopía fue más rápida; Se detectaron cultivos líquidos positivos en una mediana de 10 días, más rápido que 20 días para cultivos sólidos (P &lt;0,0001). Las pruebas de MDR-TB en cultivo sólido y líquido tuvieron un 97% de acuerdo. Un técnico que trabajaba a tiempo completo manejó ~ 60 microscopias / día, ~ 30 cultivos sólidos o ~ 10 cultivos líquidos. Los costos fueron más bajos para la microscopía, más altos para el cultivo sólido y más alto para cultivo líquido.</w:t>
      </w:r>
    </w:p>
    <w:p w14:paraId="0D24058D" w14:textId="77777777" w:rsidR="009B4456" w:rsidRPr="0009160D" w:rsidRDefault="009B4456" w:rsidP="009B4456">
      <w:pPr>
        <w:spacing w:after="0"/>
        <w:jc w:val="both"/>
        <w:rPr>
          <w:rFonts w:ascii="Calibri" w:hAnsi="Calibri"/>
        </w:rPr>
      </w:pPr>
    </w:p>
    <w:p w14:paraId="5E5BED7E" w14:textId="7A5A144A" w:rsidR="009B4456" w:rsidRPr="008720E0" w:rsidRDefault="009B4456" w:rsidP="009B4456">
      <w:pPr>
        <w:spacing w:after="0"/>
        <w:jc w:val="both"/>
        <w:rPr>
          <w:rFonts w:ascii="Calibri" w:hAnsi="Calibri"/>
        </w:rPr>
      </w:pPr>
      <w:r w:rsidRPr="009B4456">
        <w:rPr>
          <w:rFonts w:ascii="Arial" w:hAnsi="Arial" w:cs="Arial"/>
          <w:b/>
          <w:bCs/>
        </w:rPr>
        <w:t>Conclusiones</w:t>
      </w:r>
      <w:r w:rsidRPr="009B4456">
        <w:rPr>
          <w:rFonts w:ascii="Calibri" w:hAnsi="Calibri"/>
          <w:b/>
          <w:bCs/>
        </w:rPr>
        <w:t>:</w:t>
      </w:r>
      <w:r w:rsidRPr="009B4456">
        <w:rPr>
          <w:rFonts w:ascii="Calibri" w:hAnsi="Calibri"/>
        </w:rPr>
        <w:t xml:space="preserve"> </w:t>
      </w:r>
      <w:r>
        <w:rPr>
          <w:rFonts w:ascii="Calibri" w:hAnsi="Calibri"/>
        </w:rPr>
        <w:t>L</w:t>
      </w:r>
      <w:r w:rsidRPr="009B4456">
        <w:rPr>
          <w:rFonts w:ascii="Calibri" w:hAnsi="Calibri"/>
        </w:rPr>
        <w:t>a microscopía de frotis es rápida, económica pero insensible y no puede detectar TB-MDR. El cultivo sólido era simple, rápido de realizar y tenía mayor bioseguridad que el cultivo líquido, que requería mayores recursos. El cultivo líquido proporcionó resultados más rápidamente pero falló con más frecuencia; las sensibilidades fueron similares. Estos resultados informan la selección de técnicas de diagnóstico apropiadas para diferentes entornos.</w:t>
      </w:r>
    </w:p>
    <w:sectPr w:rsidR="009B4456" w:rsidRPr="00872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E0"/>
    <w:rsid w:val="0009160D"/>
    <w:rsid w:val="002C5E56"/>
    <w:rsid w:val="008720E0"/>
    <w:rsid w:val="009B4456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9074E"/>
  <w15:chartTrackingRefBased/>
  <w15:docId w15:val="{C2E0D561-8D76-4E1D-8FCB-C6BF382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720E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72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Book2011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5</cp:revision>
  <dcterms:created xsi:type="dcterms:W3CDTF">2020-06-03T07:48:00Z</dcterms:created>
  <dcterms:modified xsi:type="dcterms:W3CDTF">2020-06-08T20:30:00Z</dcterms:modified>
</cp:coreProperties>
</file>