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94277" w14:textId="2184B2F4" w:rsidR="00C94054" w:rsidRPr="00862F84" w:rsidRDefault="00C94054">
      <w:pPr>
        <w:rPr>
          <w:rFonts w:ascii="Calibri" w:hAnsi="Calibri"/>
        </w:rPr>
      </w:pPr>
      <w:r w:rsidRPr="002259DC">
        <w:rPr>
          <w:rFonts w:ascii="Calibri" w:hAnsi="Calibri" w:cs="Arial"/>
          <w:shd w:val="clear" w:color="auto" w:fill="FFFFFF"/>
          <w:lang w:val="en-GB"/>
        </w:rPr>
        <w:t>Wolf H, Mendez M, Gilman RH, Sheen P, Soto G, Velarde AK, Zimic M, Escombe AR, Montenegro S, Oberhelman RA, Evans CA.</w:t>
      </w:r>
      <w:r w:rsidRPr="002259DC">
        <w:rPr>
          <w:rFonts w:ascii="Calibri" w:hAnsi="Calibri" w:cs="Arial"/>
          <w:lang w:val="en-GB"/>
        </w:rPr>
        <w:br/>
      </w:r>
      <w:r w:rsidR="006948A9" w:rsidRPr="006948A9">
        <w:rPr>
          <w:rFonts w:ascii="Calibri" w:hAnsi="Calibri" w:cs="Arial"/>
          <w:u w:val="single"/>
          <w:bdr w:val="none" w:sz="0" w:space="0" w:color="auto" w:frame="1"/>
          <w:shd w:val="clear" w:color="auto" w:fill="FFFFFF"/>
        </w:rPr>
        <w:t>Diagnóstico de tuberculosis pulmonar pediátrica por PCR en heces</w:t>
      </w:r>
      <w:r w:rsidRPr="006948A9">
        <w:rPr>
          <w:rFonts w:ascii="Calibri" w:hAnsi="Calibri" w:cs="Arial"/>
          <w:u w:val="single"/>
          <w:bdr w:val="none" w:sz="0" w:space="0" w:color="auto" w:frame="1"/>
          <w:shd w:val="clear" w:color="auto" w:fill="FFFFFF"/>
        </w:rPr>
        <w:t>.</w:t>
      </w:r>
      <w:r w:rsidRPr="006948A9">
        <w:rPr>
          <w:rFonts w:ascii="Calibri" w:hAnsi="Calibri" w:cs="Arial"/>
        </w:rPr>
        <w:br/>
      </w:r>
      <w:r w:rsidRPr="00862F84">
        <w:rPr>
          <w:rStyle w:val="nfasis"/>
          <w:rFonts w:ascii="Calibri" w:hAnsi="Calibri" w:cs="Arial"/>
          <w:bdr w:val="none" w:sz="0" w:space="0" w:color="auto" w:frame="1"/>
          <w:shd w:val="clear" w:color="auto" w:fill="FFFFFF"/>
        </w:rPr>
        <w:t>American Journal of Tropical Medicine and Hygiene</w:t>
      </w:r>
      <w:r w:rsidRPr="00862F84">
        <w:rPr>
          <w:rFonts w:ascii="Calibri" w:hAnsi="Calibri" w:cs="Arial"/>
          <w:shd w:val="clear" w:color="auto" w:fill="FFFFFF"/>
        </w:rPr>
        <w:t> 2008;79(6):893-898.</w:t>
      </w:r>
      <w:r w:rsidRPr="00862F84">
        <w:rPr>
          <w:rFonts w:ascii="Calibri" w:hAnsi="Calibri" w:cs="Arial"/>
        </w:rPr>
        <w:br/>
      </w:r>
      <w:r w:rsidRPr="00862F84">
        <w:rPr>
          <w:rFonts w:ascii="Calibri" w:hAnsi="Calibri" w:cs="Arial"/>
          <w:shd w:val="clear" w:color="auto" w:fill="FFFFFF"/>
        </w:rPr>
        <w:t>Open access: </w:t>
      </w:r>
      <w:bookmarkStart w:id="0" w:name="_GoBack"/>
      <w:r w:rsidR="00862F84" w:rsidRPr="00862F84">
        <w:fldChar w:fldCharType="begin"/>
      </w:r>
      <w:r w:rsidR="00862F84" w:rsidRPr="00862F84">
        <w:instrText xml:space="preserve"> HYPERLINK "http://www.ncbi.nlm.nih.gov/pubmed/19052299" </w:instrText>
      </w:r>
      <w:r w:rsidR="00862F84" w:rsidRPr="00862F84">
        <w:fldChar w:fldCharType="separate"/>
      </w:r>
      <w:r w:rsidRPr="00862F84">
        <w:rPr>
          <w:rStyle w:val="Hipervnculo"/>
          <w:rFonts w:ascii="Calibri" w:hAnsi="Calibri" w:cs="Arial"/>
          <w:color w:val="auto"/>
          <w:u w:val="none"/>
          <w:bdr w:val="none" w:sz="0" w:space="0" w:color="auto" w:frame="1"/>
          <w:shd w:val="clear" w:color="auto" w:fill="FFFFFF"/>
        </w:rPr>
        <w:t>http://www.ncbi.nlm.nih.gov/pubmed/19052299</w:t>
      </w:r>
      <w:r w:rsidR="00862F84" w:rsidRPr="00862F84">
        <w:rPr>
          <w:rStyle w:val="Hipervnculo"/>
          <w:rFonts w:ascii="Calibri" w:hAnsi="Calibri" w:cs="Arial"/>
          <w:color w:val="auto"/>
          <w:u w:val="none"/>
          <w:bdr w:val="none" w:sz="0" w:space="0" w:color="auto" w:frame="1"/>
          <w:shd w:val="clear" w:color="auto" w:fill="FFFFFF"/>
          <w:lang w:val="en-GB"/>
        </w:rPr>
        <w:fldChar w:fldCharType="end"/>
      </w:r>
      <w:bookmarkEnd w:id="0"/>
    </w:p>
    <w:p w14:paraId="7AD1F0A9" w14:textId="630A822C" w:rsidR="006948A9" w:rsidRPr="00862F84" w:rsidRDefault="006948A9">
      <w:pPr>
        <w:rPr>
          <w:rFonts w:ascii="Calibri" w:hAnsi="Calibri"/>
        </w:rPr>
      </w:pPr>
    </w:p>
    <w:p w14:paraId="5B7E7B5E" w14:textId="77777777" w:rsidR="006948A9" w:rsidRPr="006948A9" w:rsidRDefault="006948A9" w:rsidP="006948A9">
      <w:pPr>
        <w:rPr>
          <w:rFonts w:ascii="Arial" w:hAnsi="Arial" w:cs="Arial"/>
          <w:b/>
          <w:bCs/>
        </w:rPr>
      </w:pPr>
      <w:r w:rsidRPr="006948A9">
        <w:rPr>
          <w:rFonts w:ascii="Arial" w:hAnsi="Arial" w:cs="Arial"/>
          <w:b/>
          <w:bCs/>
        </w:rPr>
        <w:t>Resumen</w:t>
      </w:r>
    </w:p>
    <w:p w14:paraId="2530B8B7" w14:textId="1E4FA549" w:rsidR="006948A9" w:rsidRPr="006948A9" w:rsidRDefault="006948A9" w:rsidP="006948A9">
      <w:pPr>
        <w:jc w:val="both"/>
        <w:rPr>
          <w:rFonts w:ascii="Calibri" w:hAnsi="Calibri"/>
        </w:rPr>
      </w:pPr>
      <w:r w:rsidRPr="006948A9">
        <w:rPr>
          <w:rFonts w:ascii="Calibri" w:hAnsi="Calibri"/>
        </w:rPr>
        <w:t>El diagnóstico de tuberculosis pulmonar pediátrica es difícil porque los niños pequeños no pueden expectorar muestras de esputo. La prueba del ADN de la tuberculosis en las heces del esputo ingerido puede diagnosticar la tuberculosis pulmonar. Los niños hospitalizados con sospecha de tuberculosis tenían heces, nasofaríngeos y aspirados gástricos cultivados que confirmaron tuberculosis pulmonar en 16/236 pacientes. Veintiocho heces almacenadas de estos 16 niños se usaron para evaluar la reacción en cadena de la polimerasa en heces (PCR) para el diagnóstico de tuberculosis en comparación con 28 muestras de heces de 23 niños sanos de control. Se utilizaron dos técnicas de extracción de ADN: homogeneización mecánica de ADN rápido y extracción química de resina Chelex. Se analizó el ADN de ADN de tuberculosis con una PCR IS6110 hemidada. La PCR después del procesamiento de ADN rápido fue positiva para 6/16 pacientes con tuberculosis probados en cultivo versus 5/16 después de la extracción de Chelex (sensibilidad 38% y 31%, respectivamente). Todos los controles fueron negativos (especificidad 100%). Si se puede aumentar la sensibilidad, la PCR en heces sería una prueba inicial rápida, no invasiva y relativamente segura para niños con sospecha de tuberculosis pulmonar.</w:t>
      </w:r>
    </w:p>
    <w:sectPr w:rsidR="006948A9" w:rsidRPr="00694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54"/>
    <w:rsid w:val="002259DC"/>
    <w:rsid w:val="006948A9"/>
    <w:rsid w:val="00862F84"/>
    <w:rsid w:val="00C94054"/>
    <w:rsid w:val="00E200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94054"/>
    <w:rPr>
      <w:i/>
      <w:iCs/>
    </w:rPr>
  </w:style>
  <w:style w:type="character" w:styleId="Hipervnculo">
    <w:name w:val="Hyperlink"/>
    <w:basedOn w:val="Fuentedeprrafopredeter"/>
    <w:uiPriority w:val="99"/>
    <w:semiHidden/>
    <w:unhideWhenUsed/>
    <w:rsid w:val="00C940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94054"/>
    <w:rPr>
      <w:i/>
      <w:iCs/>
    </w:rPr>
  </w:style>
  <w:style w:type="character" w:styleId="Hipervnculo">
    <w:name w:val="Hyperlink"/>
    <w:basedOn w:val="Fuentedeprrafopredeter"/>
    <w:uiPriority w:val="99"/>
    <w:semiHidden/>
    <w:unhideWhenUsed/>
    <w:rsid w:val="00C94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60415">
      <w:bodyDiv w:val="1"/>
      <w:marLeft w:val="0"/>
      <w:marRight w:val="0"/>
      <w:marTop w:val="0"/>
      <w:marBottom w:val="0"/>
      <w:divBdr>
        <w:top w:val="none" w:sz="0" w:space="0" w:color="auto"/>
        <w:left w:val="none" w:sz="0" w:space="0" w:color="auto"/>
        <w:bottom w:val="none" w:sz="0" w:space="0" w:color="auto"/>
        <w:right w:val="none" w:sz="0" w:space="0" w:color="auto"/>
      </w:divBdr>
      <w:divsChild>
        <w:div w:id="1351299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1408</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5</cp:revision>
  <dcterms:created xsi:type="dcterms:W3CDTF">2020-06-01T14:25:00Z</dcterms:created>
  <dcterms:modified xsi:type="dcterms:W3CDTF">2020-06-05T18:37:00Z</dcterms:modified>
</cp:coreProperties>
</file>