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EFE5C" w14:textId="25CB4D15" w:rsidR="004B3BB2" w:rsidRPr="000F404B" w:rsidRDefault="004B3BB2" w:rsidP="004B3BB2">
      <w:pPr>
        <w:pStyle w:val="NormalWeb"/>
        <w:rPr>
          <w:rStyle w:val="Hipervnculo"/>
          <w:rFonts w:ascii="Arial" w:hAnsi="Arial" w:cs="Arial"/>
          <w:sz w:val="21"/>
          <w:szCs w:val="21"/>
          <w:bdr w:val="none" w:sz="0" w:space="0" w:color="auto" w:frame="1"/>
          <w:lang w:val="es-PE"/>
        </w:rPr>
      </w:pPr>
      <w:r w:rsidRPr="00E03D80">
        <w:rPr>
          <w:rFonts w:ascii="Arial" w:hAnsi="Arial" w:cs="Arial"/>
          <w:sz w:val="21"/>
          <w:szCs w:val="21"/>
        </w:rPr>
        <w:t xml:space="preserve">Aldridge RW, Herrera B, Valencia T, Pealing L, </w:t>
      </w:r>
      <w:proofErr w:type="spellStart"/>
      <w:r w:rsidRPr="00E03D80">
        <w:rPr>
          <w:rFonts w:ascii="Arial" w:hAnsi="Arial" w:cs="Arial"/>
          <w:sz w:val="21"/>
          <w:szCs w:val="21"/>
        </w:rPr>
        <w:t>Eisen</w:t>
      </w:r>
      <w:proofErr w:type="spellEnd"/>
      <w:r w:rsidRPr="00E03D80">
        <w:rPr>
          <w:rFonts w:ascii="Arial" w:hAnsi="Arial" w:cs="Arial"/>
          <w:sz w:val="21"/>
          <w:szCs w:val="21"/>
        </w:rPr>
        <w:t xml:space="preserve"> S, Macdonald D, </w:t>
      </w:r>
      <w:proofErr w:type="spellStart"/>
      <w:r w:rsidRPr="00E03D80">
        <w:rPr>
          <w:rFonts w:ascii="Arial" w:hAnsi="Arial" w:cs="Arial"/>
          <w:sz w:val="21"/>
          <w:szCs w:val="21"/>
        </w:rPr>
        <w:t>Leybell</w:t>
      </w:r>
      <w:proofErr w:type="spellEnd"/>
      <w:r w:rsidRPr="00E03D80">
        <w:rPr>
          <w:rFonts w:ascii="Arial" w:hAnsi="Arial" w:cs="Arial"/>
          <w:sz w:val="21"/>
          <w:szCs w:val="21"/>
        </w:rPr>
        <w:t xml:space="preserve"> I, </w:t>
      </w:r>
      <w:proofErr w:type="spellStart"/>
      <w:r w:rsidRPr="00E03D80">
        <w:rPr>
          <w:rFonts w:ascii="Arial" w:hAnsi="Arial" w:cs="Arial"/>
          <w:sz w:val="21"/>
          <w:szCs w:val="21"/>
        </w:rPr>
        <w:t>Koyanagi</w:t>
      </w:r>
      <w:proofErr w:type="spellEnd"/>
      <w:r w:rsidRPr="00E03D80">
        <w:rPr>
          <w:rFonts w:ascii="Arial" w:hAnsi="Arial" w:cs="Arial"/>
          <w:sz w:val="21"/>
          <w:szCs w:val="21"/>
        </w:rPr>
        <w:t xml:space="preserve"> A, Wiles S, </w:t>
      </w:r>
      <w:proofErr w:type="spellStart"/>
      <w:r w:rsidRPr="00E03D80">
        <w:rPr>
          <w:rFonts w:ascii="Arial" w:hAnsi="Arial" w:cs="Arial"/>
          <w:sz w:val="21"/>
          <w:szCs w:val="21"/>
        </w:rPr>
        <w:t>Rivero</w:t>
      </w:r>
      <w:proofErr w:type="spellEnd"/>
      <w:r w:rsidRPr="00E03D80">
        <w:rPr>
          <w:rFonts w:ascii="Arial" w:hAnsi="Arial" w:cs="Arial"/>
          <w:sz w:val="21"/>
          <w:szCs w:val="21"/>
        </w:rPr>
        <w:t xml:space="preserve"> M, Montoya R, </w:t>
      </w:r>
      <w:proofErr w:type="spellStart"/>
      <w:r w:rsidRPr="00E03D80">
        <w:rPr>
          <w:rFonts w:ascii="Arial" w:hAnsi="Arial" w:cs="Arial"/>
          <w:sz w:val="21"/>
          <w:szCs w:val="21"/>
        </w:rPr>
        <w:t>Friedland</w:t>
      </w:r>
      <w:proofErr w:type="spellEnd"/>
      <w:r w:rsidRPr="00E03D80">
        <w:rPr>
          <w:rFonts w:ascii="Arial" w:hAnsi="Arial" w:cs="Arial"/>
          <w:sz w:val="21"/>
          <w:szCs w:val="21"/>
        </w:rPr>
        <w:t xml:space="preserve"> JS, Gilman RH, </w:t>
      </w:r>
      <w:r w:rsidRPr="004B3BB2">
        <w:rPr>
          <w:rFonts w:ascii="Arial" w:hAnsi="Arial" w:cs="Arial"/>
          <w:sz w:val="21"/>
          <w:szCs w:val="21"/>
        </w:rPr>
        <w:t>Evans CA.</w:t>
      </w:r>
      <w:r w:rsidRPr="00E03D80">
        <w:rPr>
          <w:rFonts w:ascii="Arial" w:hAnsi="Arial" w:cs="Arial"/>
          <w:sz w:val="21"/>
          <w:szCs w:val="21"/>
        </w:rPr>
        <w:br/>
      </w:r>
      <w:r w:rsidRPr="000F404B">
        <w:rPr>
          <w:rFonts w:ascii="Arial" w:hAnsi="Arial" w:cs="Arial"/>
          <w:sz w:val="21"/>
          <w:szCs w:val="21"/>
          <w:u w:val="single"/>
          <w:bdr w:val="none" w:sz="0" w:space="0" w:color="auto" w:frame="1"/>
          <w:lang w:val="es-PE"/>
        </w:rPr>
        <w:t>Una prueba de campo in vitro de inmunidad antimicobacteriana predice factores de riesgo de tuberculosis in vivo</w:t>
      </w:r>
      <w:r w:rsidRPr="00E03D80">
        <w:rPr>
          <w:rFonts w:ascii="Arial" w:hAnsi="Arial" w:cs="Arial"/>
          <w:sz w:val="21"/>
          <w:szCs w:val="21"/>
        </w:rPr>
        <w:br/>
        <w:t>Poster presentation.</w:t>
      </w:r>
      <w:r w:rsidRPr="00E03D80">
        <w:rPr>
          <w:rFonts w:ascii="Arial" w:hAnsi="Arial" w:cs="Arial"/>
          <w:sz w:val="21"/>
          <w:szCs w:val="21"/>
        </w:rPr>
        <w:br/>
      </w:r>
      <w:r w:rsidRPr="000F404B">
        <w:rPr>
          <w:rFonts w:ascii="Arial" w:hAnsi="Arial" w:cs="Arial"/>
          <w:sz w:val="21"/>
          <w:szCs w:val="21"/>
          <w:lang w:val="es-PE"/>
        </w:rPr>
        <w:t>En Actas de la 13ª Conferencia Anual de la Unión Internacional contra la Tuberculosis y las Enfermedades Pulmonares - Región de América del Norte: 26-28 de febrero de 2009; Vancouver, BC, Canadá.</w:t>
      </w:r>
      <w:r w:rsidRPr="000F404B">
        <w:rPr>
          <w:rFonts w:ascii="Arial" w:hAnsi="Arial" w:cs="Arial"/>
          <w:sz w:val="21"/>
          <w:szCs w:val="21"/>
          <w:lang w:val="es-PE"/>
        </w:rPr>
        <w:br/>
        <w:t>Acceso abierto: </w:t>
      </w:r>
      <w:hyperlink r:id="rId4" w:history="1">
        <w:r w:rsidRPr="000F404B">
          <w:rPr>
            <w:rStyle w:val="Hipervnculo"/>
            <w:rFonts w:ascii="Arial" w:hAnsi="Arial" w:cs="Arial"/>
            <w:sz w:val="21"/>
            <w:szCs w:val="21"/>
            <w:bdr w:val="none" w:sz="0" w:space="0" w:color="auto" w:frame="1"/>
            <w:lang w:val="es-PE"/>
          </w:rPr>
          <w:t>PDF</w:t>
        </w:r>
      </w:hyperlink>
      <w:bookmarkStart w:id="0" w:name="_GoBack"/>
      <w:bookmarkEnd w:id="0"/>
    </w:p>
    <w:p w14:paraId="4FB0CD89" w14:textId="6CD6AEC9" w:rsidR="004B3BB2" w:rsidRDefault="004B3BB2"/>
    <w:p w14:paraId="02FC3DEC" w14:textId="21E0459A" w:rsidR="004B3BB2" w:rsidRDefault="004B3BB2"/>
    <w:p w14:paraId="2BB3753D" w14:textId="426ADEB1" w:rsidR="004B3BB2" w:rsidRDefault="004B3BB2" w:rsidP="004B3BB2">
      <w:pPr>
        <w:jc w:val="both"/>
      </w:pPr>
      <w:r w:rsidRPr="004B3BB2">
        <w:rPr>
          <w:rFonts w:ascii="Arial" w:hAnsi="Arial" w:cs="Arial"/>
          <w:b/>
          <w:bCs/>
        </w:rPr>
        <w:t>Antecedentes:</w:t>
      </w:r>
      <w:r>
        <w:t xml:space="preserve"> Simplificamos un ensayo de inmunidad anti-micobacteriana humana y comparamos los resultados con factores de riesgo de tuberculosis conocidos.</w:t>
      </w:r>
    </w:p>
    <w:p w14:paraId="4B797207" w14:textId="3FA9D220" w:rsidR="004B3BB2" w:rsidRDefault="004B3BB2" w:rsidP="004B3BB2">
      <w:pPr>
        <w:jc w:val="both"/>
      </w:pPr>
      <w:r w:rsidRPr="004B3BB2">
        <w:rPr>
          <w:rFonts w:ascii="Arial" w:hAnsi="Arial" w:cs="Arial"/>
          <w:b/>
          <w:bCs/>
        </w:rPr>
        <w:t>Métodos:</w:t>
      </w:r>
      <w:r>
        <w:t xml:space="preserve"> Se mezclaron 730 muestras de sangre total y 714 de plasma de 515 adultos sanos con micobacterias luminiscentes. Después de 4 días de incubación, se utilizó un luminómetro portátil para estimar el crecimiento / muerte de micobacterias que se comparó con los factores de riesgo de tuberculosis.</w:t>
      </w:r>
    </w:p>
    <w:p w14:paraId="7AF59892" w14:textId="16B23F2D" w:rsidR="004B3BB2" w:rsidRDefault="004B3BB2" w:rsidP="004B3BB2">
      <w:pPr>
        <w:jc w:val="both"/>
      </w:pPr>
      <w:r w:rsidRPr="004B3BB2">
        <w:rPr>
          <w:rFonts w:ascii="Arial" w:hAnsi="Arial" w:cs="Arial"/>
          <w:b/>
          <w:bCs/>
        </w:rPr>
        <w:t>Resultados:</w:t>
      </w:r>
      <w:r>
        <w:t xml:space="preserve"> En sangre total, la luminiscencia de las micobacterias aumentó en una media de 0,58 unidades log de luz (intervalos de confianza del 95%: 0,54-0,63), en comparación con el crecimiento de 0,00044 unidades log de luz en el plasma de los mismos individuos (intervalos de confianza del 95%: -0,034-0,035). Las micobacterias crecieron más en la sangre de los participantes que tenían factores de riesgo de tuberculosis, es decir, que no habían recibido la vacuna BCG y tenían evidencia antropométrica de desnutrición (todos P &lt;0,005). En el plasma, el crecimiento de micobacterias no se asoció con el estado nutricional (P&gt; 0,1) pero se asoció con la falta de vacunación con BCG (P &lt;0,009). Los resultados del ensayo no se vieron confundidos por el intervalo entre la punción venosa y las pruebas de laboratorio, el hematocrito o la dosis de infección por micobacterias.</w:t>
      </w:r>
    </w:p>
    <w:p w14:paraId="33DAE7A3" w14:textId="1BC2615D" w:rsidR="004B3BB2" w:rsidRDefault="004B3BB2" w:rsidP="004B3BB2">
      <w:pPr>
        <w:jc w:val="both"/>
      </w:pPr>
      <w:r w:rsidRPr="004B3BB2">
        <w:rPr>
          <w:rFonts w:ascii="Arial" w:hAnsi="Arial" w:cs="Arial"/>
          <w:b/>
          <w:bCs/>
        </w:rPr>
        <w:t>Conclusiones:</w:t>
      </w:r>
      <w:r>
        <w:t xml:space="preserve"> Este sencillo y económico análisis de sangre predijo los determinantes conocidos de la susceptibilidad a la tuberculosis y sugirió que la vacunación con BCG influyó en la inmunidad antimicobacteriana humoral y celular.</w:t>
      </w:r>
    </w:p>
    <w:sectPr w:rsidR="004B3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B2"/>
    <w:rsid w:val="000F404B"/>
    <w:rsid w:val="004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56D04"/>
  <w15:chartTrackingRefBased/>
  <w15:docId w15:val="{C38B441F-C7DE-474C-BF03-EB201D2F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B3B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B3BB2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en-US" w:eastAsia="en-US" w:bidi="th-TH"/>
    </w:rPr>
  </w:style>
  <w:style w:type="character" w:styleId="Hipervnculovisitado">
    <w:name w:val="FollowedHyperlink"/>
    <w:basedOn w:val="Fuentedeprrafopredeter"/>
    <w:uiPriority w:val="99"/>
    <w:semiHidden/>
    <w:unhideWhenUsed/>
    <w:rsid w:val="004B3B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fhad.org/wp-content/uploads/2020/05/Rob_Aldridge_Vancouver_Feb_2009_Abstract.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2</cp:revision>
  <dcterms:created xsi:type="dcterms:W3CDTF">2020-08-29T18:14:00Z</dcterms:created>
  <dcterms:modified xsi:type="dcterms:W3CDTF">2020-09-12T13:22:00Z</dcterms:modified>
</cp:coreProperties>
</file>