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B4CBE" w14:textId="77777777" w:rsidR="009B4A93" w:rsidRPr="00422107" w:rsidRDefault="009B4A93" w:rsidP="009B4A93">
      <w:pPr>
        <w:rPr>
          <w:rFonts w:ascii="Calibri" w:hAnsi="Calibri" w:cs="Calibri"/>
          <w:sz w:val="22"/>
          <w:szCs w:val="22"/>
          <w:shd w:val="clear" w:color="auto" w:fill="FFFFFF"/>
        </w:rPr>
      </w:pPr>
      <w:r w:rsidRPr="00422107">
        <w:rPr>
          <w:rFonts w:ascii="Calibri" w:hAnsi="Calibri" w:cs="Calibri"/>
          <w:sz w:val="22"/>
          <w:szCs w:val="22"/>
          <w:shd w:val="clear" w:color="auto" w:fill="FFFFFF"/>
        </w:rPr>
        <w:t xml:space="preserve">Bernabé A, Vargas D, </w:t>
      </w:r>
      <w:proofErr w:type="spellStart"/>
      <w:r w:rsidRPr="00422107">
        <w:rPr>
          <w:rFonts w:ascii="Calibri" w:hAnsi="Calibri" w:cs="Calibri"/>
          <w:sz w:val="22"/>
          <w:szCs w:val="22"/>
          <w:shd w:val="clear" w:color="auto" w:fill="FFFFFF"/>
        </w:rPr>
        <w:t>Gilman</w:t>
      </w:r>
      <w:proofErr w:type="spellEnd"/>
      <w:r w:rsidRPr="00422107">
        <w:rPr>
          <w:rFonts w:ascii="Calibri" w:hAnsi="Calibri" w:cs="Calibri"/>
          <w:sz w:val="22"/>
          <w:szCs w:val="22"/>
          <w:shd w:val="clear" w:color="auto" w:fill="FFFFFF"/>
        </w:rPr>
        <w:t xml:space="preserve"> RH, </w:t>
      </w:r>
      <w:proofErr w:type="spellStart"/>
      <w:r w:rsidRPr="00422107">
        <w:rPr>
          <w:rFonts w:ascii="Calibri" w:hAnsi="Calibri" w:cs="Calibri"/>
          <w:sz w:val="22"/>
          <w:szCs w:val="22"/>
          <w:shd w:val="clear" w:color="auto" w:fill="FFFFFF"/>
        </w:rPr>
        <w:t>Carcamo</w:t>
      </w:r>
      <w:proofErr w:type="spellEnd"/>
      <w:r w:rsidRPr="00422107">
        <w:rPr>
          <w:rFonts w:ascii="Calibri" w:hAnsi="Calibri" w:cs="Calibri"/>
          <w:sz w:val="22"/>
          <w:szCs w:val="22"/>
          <w:shd w:val="clear" w:color="auto" w:fill="FFFFFF"/>
        </w:rPr>
        <w:t xml:space="preserve"> C, Tovar MA, Sánchez J, Ríos J, Soto G, </w:t>
      </w:r>
      <w:proofErr w:type="spellStart"/>
      <w:r w:rsidRPr="00422107">
        <w:rPr>
          <w:rFonts w:ascii="Calibri" w:hAnsi="Calibri" w:cs="Calibri"/>
          <w:sz w:val="22"/>
          <w:szCs w:val="22"/>
          <w:shd w:val="clear" w:color="auto" w:fill="FFFFFF"/>
        </w:rPr>
        <w:t>Caviedes</w:t>
      </w:r>
      <w:proofErr w:type="spellEnd"/>
      <w:r w:rsidRPr="00422107">
        <w:rPr>
          <w:rFonts w:ascii="Calibri" w:hAnsi="Calibri" w:cs="Calibri"/>
          <w:sz w:val="22"/>
          <w:szCs w:val="22"/>
          <w:shd w:val="clear" w:color="auto" w:fill="FFFFFF"/>
        </w:rPr>
        <w:t xml:space="preserve"> L, Ortiz J, Rodríguez R, Moore D, Evans CA.</w:t>
      </w:r>
      <w:r w:rsidRPr="00422107">
        <w:rPr>
          <w:rFonts w:ascii="Calibri" w:hAnsi="Calibri" w:cs="Calibri"/>
          <w:sz w:val="22"/>
          <w:szCs w:val="22"/>
        </w:rPr>
        <w:br/>
      </w:r>
      <w:r w:rsidRPr="00422107">
        <w:rPr>
          <w:rFonts w:ascii="Calibri" w:hAnsi="Calibri" w:cs="Calibri"/>
          <w:sz w:val="22"/>
          <w:szCs w:val="22"/>
          <w:u w:val="single"/>
          <w:bdr w:val="none" w:sz="0" w:space="0" w:color="auto" w:frame="1"/>
          <w:shd w:val="clear" w:color="auto" w:fill="FFFFFF"/>
        </w:rPr>
        <w:t>La pérdida de peso predice el fracaso del tratamiento de la tuberculosis y la MDR-TB</w:t>
      </w:r>
      <w:r w:rsidRPr="00422107">
        <w:rPr>
          <w:rFonts w:ascii="Calibri" w:hAnsi="Calibri" w:cs="Calibri"/>
          <w:sz w:val="22"/>
          <w:szCs w:val="22"/>
        </w:rPr>
        <w:br/>
      </w:r>
      <w:r w:rsidRPr="00422107">
        <w:rPr>
          <w:rFonts w:ascii="Calibri" w:hAnsi="Calibri" w:cs="Calibri"/>
          <w:sz w:val="22"/>
          <w:szCs w:val="22"/>
          <w:shd w:val="clear" w:color="auto" w:fill="FFFFFF"/>
        </w:rPr>
        <w:t>Presentación oral, en la sesión 3 Tratamiento de la tuberculosis.</w:t>
      </w:r>
    </w:p>
    <w:p w14:paraId="7CEFB240" w14:textId="29EBF682" w:rsidR="009B4A93" w:rsidRPr="00422107" w:rsidRDefault="009B4A93" w:rsidP="009B4A93">
      <w:pPr>
        <w:rPr>
          <w:rStyle w:val="Hipervnculo"/>
          <w:rFonts w:ascii="Calibri" w:hAnsi="Calibri" w:cs="Calibri"/>
          <w:color w:val="auto"/>
          <w:sz w:val="22"/>
          <w:szCs w:val="22"/>
          <w:bdr w:val="none" w:sz="0" w:space="0" w:color="auto" w:frame="1"/>
          <w:shd w:val="clear" w:color="auto" w:fill="FFFFFF"/>
        </w:rPr>
      </w:pPr>
      <w:r w:rsidRPr="00422107">
        <w:rPr>
          <w:rFonts w:ascii="Calibri" w:hAnsi="Calibri" w:cs="Calibri"/>
          <w:sz w:val="22"/>
          <w:szCs w:val="22"/>
          <w:shd w:val="clear" w:color="auto" w:fill="FFFFFF"/>
        </w:rPr>
        <w:t xml:space="preserve">Reunión científica anual, Wellcome Centre </w:t>
      </w:r>
      <w:proofErr w:type="spellStart"/>
      <w:r w:rsidRPr="00422107">
        <w:rPr>
          <w:rFonts w:ascii="Calibri" w:hAnsi="Calibri" w:cs="Calibri"/>
          <w:sz w:val="22"/>
          <w:szCs w:val="22"/>
          <w:shd w:val="clear" w:color="auto" w:fill="FFFFFF"/>
        </w:rPr>
        <w:t>for</w:t>
      </w:r>
      <w:proofErr w:type="spellEnd"/>
      <w:r w:rsidRPr="00422107">
        <w:rPr>
          <w:rFonts w:ascii="Calibri" w:hAnsi="Calibri" w:cs="Calibri"/>
          <w:sz w:val="22"/>
          <w:szCs w:val="22"/>
          <w:shd w:val="clear" w:color="auto" w:fill="FFFFFF"/>
        </w:rPr>
        <w:t xml:space="preserve"> </w:t>
      </w:r>
      <w:proofErr w:type="spellStart"/>
      <w:r w:rsidRPr="00422107">
        <w:rPr>
          <w:rFonts w:ascii="Calibri" w:hAnsi="Calibri" w:cs="Calibri"/>
          <w:sz w:val="22"/>
          <w:szCs w:val="22"/>
          <w:shd w:val="clear" w:color="auto" w:fill="FFFFFF"/>
        </w:rPr>
        <w:t>Clinical</w:t>
      </w:r>
      <w:proofErr w:type="spellEnd"/>
      <w:r w:rsidRPr="00422107">
        <w:rPr>
          <w:rFonts w:ascii="Calibri" w:hAnsi="Calibri" w:cs="Calibri"/>
          <w:sz w:val="22"/>
          <w:szCs w:val="22"/>
          <w:shd w:val="clear" w:color="auto" w:fill="FFFFFF"/>
        </w:rPr>
        <w:t xml:space="preserve"> Tropical Medicine, Imperial </w:t>
      </w:r>
      <w:proofErr w:type="spellStart"/>
      <w:r w:rsidRPr="00422107">
        <w:rPr>
          <w:rFonts w:ascii="Calibri" w:hAnsi="Calibri" w:cs="Calibri"/>
          <w:sz w:val="22"/>
          <w:szCs w:val="22"/>
          <w:shd w:val="clear" w:color="auto" w:fill="FFFFFF"/>
        </w:rPr>
        <w:t>College</w:t>
      </w:r>
      <w:proofErr w:type="spellEnd"/>
      <w:r w:rsidRPr="00422107">
        <w:rPr>
          <w:rFonts w:ascii="Calibri" w:hAnsi="Calibri" w:cs="Calibri"/>
          <w:sz w:val="22"/>
          <w:szCs w:val="22"/>
          <w:shd w:val="clear" w:color="auto" w:fill="FFFFFF"/>
        </w:rPr>
        <w:t xml:space="preserve"> London: 1 de marzo de 2007; Lima, Perú.</w:t>
      </w:r>
      <w:r w:rsidRPr="00422107">
        <w:rPr>
          <w:rFonts w:ascii="Calibri" w:hAnsi="Calibri" w:cs="Calibri"/>
          <w:sz w:val="22"/>
          <w:szCs w:val="22"/>
        </w:rPr>
        <w:br/>
      </w:r>
      <w:r w:rsidRPr="00422107">
        <w:rPr>
          <w:rFonts w:ascii="Calibri" w:hAnsi="Calibri" w:cs="Calibri"/>
          <w:sz w:val="22"/>
          <w:szCs w:val="22"/>
          <w:shd w:val="clear" w:color="auto" w:fill="FFFFFF"/>
        </w:rPr>
        <w:t>Acceso abierto: </w:t>
      </w:r>
      <w:hyperlink r:id="rId4" w:history="1">
        <w:r w:rsidRPr="00422107">
          <w:rPr>
            <w:rStyle w:val="Hipervnculo"/>
            <w:rFonts w:ascii="Calibri" w:hAnsi="Calibri" w:cs="Calibri"/>
            <w:sz w:val="22"/>
            <w:szCs w:val="22"/>
            <w:bdr w:val="none" w:sz="0" w:space="0" w:color="auto" w:frame="1"/>
            <w:shd w:val="clear" w:color="auto" w:fill="FFFFFF"/>
          </w:rPr>
          <w:t>PDF</w:t>
        </w:r>
      </w:hyperlink>
    </w:p>
    <w:p w14:paraId="01153CE5" w14:textId="04294377" w:rsidR="009B4A93" w:rsidRPr="00422107" w:rsidRDefault="009B4A93" w:rsidP="009B4A93">
      <w:pPr>
        <w:rPr>
          <w:rStyle w:val="Hipervnculo"/>
          <w:rFonts w:ascii="Calibri" w:hAnsi="Calibri" w:cs="Calibri"/>
          <w:color w:val="auto"/>
          <w:sz w:val="22"/>
          <w:szCs w:val="22"/>
          <w:bdr w:val="none" w:sz="0" w:space="0" w:color="auto" w:frame="1"/>
          <w:shd w:val="clear" w:color="auto" w:fill="FFFFFF"/>
        </w:rPr>
      </w:pPr>
    </w:p>
    <w:p w14:paraId="3E0DDCC9" w14:textId="77777777" w:rsidR="009B4A93" w:rsidRPr="00422107" w:rsidRDefault="009B4A93" w:rsidP="009B4A93">
      <w:pPr>
        <w:rPr>
          <w:rStyle w:val="Hipervnculo"/>
          <w:rFonts w:ascii="Calibri" w:hAnsi="Calibri" w:cs="Calibri"/>
          <w:color w:val="auto"/>
          <w:sz w:val="22"/>
          <w:szCs w:val="22"/>
          <w:bdr w:val="none" w:sz="0" w:space="0" w:color="auto" w:frame="1"/>
          <w:shd w:val="clear" w:color="auto" w:fill="FFFFFF"/>
        </w:rPr>
      </w:pPr>
    </w:p>
    <w:p w14:paraId="3FBA30A5" w14:textId="234BDEF2" w:rsidR="009B4A93" w:rsidRPr="00422107" w:rsidRDefault="009B4A93" w:rsidP="009B4A93">
      <w:pPr>
        <w:jc w:val="both"/>
        <w:rPr>
          <w:rFonts w:ascii="Calibri" w:hAnsi="Calibri" w:cs="Calibri"/>
          <w:sz w:val="22"/>
          <w:szCs w:val="22"/>
        </w:rPr>
      </w:pPr>
      <w:r w:rsidRPr="00422107">
        <w:rPr>
          <w:rFonts w:ascii="Arial" w:hAnsi="Arial" w:cs="Arial"/>
          <w:b/>
          <w:bCs/>
          <w:sz w:val="22"/>
          <w:szCs w:val="22"/>
        </w:rPr>
        <w:t>Antecedentes</w:t>
      </w:r>
      <w:r w:rsidRPr="00422107">
        <w:rPr>
          <w:rFonts w:ascii="Calibri" w:hAnsi="Calibri" w:cs="Calibri"/>
          <w:sz w:val="22"/>
          <w:szCs w:val="22"/>
        </w:rPr>
        <w:t>: Las pruebas de TB-MDR generalmente solo se realizan si el tratamiento antituberculoso de primera línea falla.</w:t>
      </w:r>
    </w:p>
    <w:p w14:paraId="64E8FD1C" w14:textId="77777777" w:rsidR="009B4A93" w:rsidRPr="00422107" w:rsidRDefault="009B4A93" w:rsidP="009B4A93">
      <w:pPr>
        <w:jc w:val="both"/>
        <w:rPr>
          <w:rFonts w:ascii="Calibri" w:hAnsi="Calibri" w:cs="Calibri"/>
          <w:sz w:val="22"/>
          <w:szCs w:val="22"/>
        </w:rPr>
      </w:pPr>
    </w:p>
    <w:p w14:paraId="59430CD6" w14:textId="1E963984" w:rsidR="009B4A93" w:rsidRPr="00422107" w:rsidRDefault="009B4A93" w:rsidP="009B4A93">
      <w:pPr>
        <w:jc w:val="both"/>
        <w:rPr>
          <w:rFonts w:ascii="Calibri" w:hAnsi="Calibri" w:cs="Calibri"/>
          <w:sz w:val="22"/>
          <w:szCs w:val="22"/>
        </w:rPr>
      </w:pPr>
      <w:r w:rsidRPr="00422107">
        <w:rPr>
          <w:rFonts w:ascii="Arial" w:hAnsi="Arial" w:cs="Arial"/>
          <w:b/>
          <w:bCs/>
          <w:sz w:val="22"/>
          <w:szCs w:val="22"/>
        </w:rPr>
        <w:t>Objetivo:</w:t>
      </w:r>
      <w:r w:rsidRPr="00422107">
        <w:rPr>
          <w:rFonts w:ascii="Calibri" w:hAnsi="Calibri" w:cs="Calibri"/>
          <w:sz w:val="22"/>
          <w:szCs w:val="22"/>
        </w:rPr>
        <w:t xml:space="preserve"> Definir las predicciones tempranas de fracaso del tratamiento de la tuberculosis y MDR-TB.</w:t>
      </w:r>
    </w:p>
    <w:p w14:paraId="7C505CA2" w14:textId="77777777" w:rsidR="009B4A93" w:rsidRPr="00422107" w:rsidRDefault="009B4A93" w:rsidP="009B4A93">
      <w:pPr>
        <w:jc w:val="both"/>
        <w:rPr>
          <w:rFonts w:ascii="Calibri" w:hAnsi="Calibri" w:cs="Calibri"/>
          <w:sz w:val="22"/>
          <w:szCs w:val="22"/>
        </w:rPr>
      </w:pPr>
    </w:p>
    <w:p w14:paraId="31FEAC76" w14:textId="77777777" w:rsidR="009B4A93" w:rsidRPr="00422107" w:rsidRDefault="009B4A93" w:rsidP="009B4A93">
      <w:pPr>
        <w:jc w:val="both"/>
        <w:rPr>
          <w:rFonts w:ascii="Calibri" w:hAnsi="Calibri" w:cs="Calibri"/>
          <w:sz w:val="22"/>
          <w:szCs w:val="22"/>
        </w:rPr>
      </w:pPr>
      <w:r w:rsidRPr="00422107">
        <w:rPr>
          <w:rFonts w:ascii="Arial" w:hAnsi="Arial" w:cs="Arial"/>
          <w:b/>
          <w:bCs/>
          <w:sz w:val="22"/>
          <w:szCs w:val="22"/>
        </w:rPr>
        <w:t>Métodos</w:t>
      </w:r>
      <w:r w:rsidRPr="00422107">
        <w:rPr>
          <w:rFonts w:ascii="Arial" w:hAnsi="Arial" w:cs="Arial"/>
          <w:sz w:val="22"/>
          <w:szCs w:val="22"/>
        </w:rPr>
        <w:t>:</w:t>
      </w:r>
      <w:r w:rsidRPr="00422107">
        <w:rPr>
          <w:rFonts w:ascii="Calibri" w:hAnsi="Calibri" w:cs="Calibri"/>
          <w:sz w:val="22"/>
          <w:szCs w:val="22"/>
        </w:rPr>
        <w:t xml:space="preserve"> La respuesta temprana al tratamiento y el resultado posterior se registraron en pacientes con tuberculosis de la comunidad no seleccionados.</w:t>
      </w:r>
    </w:p>
    <w:p w14:paraId="122AFD37" w14:textId="77777777" w:rsidR="009B4A93" w:rsidRPr="00422107" w:rsidRDefault="009B4A93" w:rsidP="009B4A93">
      <w:pPr>
        <w:jc w:val="both"/>
        <w:rPr>
          <w:rFonts w:ascii="Calibri" w:hAnsi="Calibri" w:cs="Calibri"/>
          <w:sz w:val="22"/>
          <w:szCs w:val="22"/>
        </w:rPr>
      </w:pPr>
    </w:p>
    <w:p w14:paraId="1640F25C" w14:textId="338B0350" w:rsidR="009B4A93" w:rsidRPr="00422107" w:rsidRDefault="009B4A93" w:rsidP="009B4A93">
      <w:pPr>
        <w:jc w:val="both"/>
        <w:rPr>
          <w:rFonts w:ascii="Calibri" w:hAnsi="Calibri" w:cs="Calibri"/>
          <w:sz w:val="22"/>
          <w:szCs w:val="22"/>
        </w:rPr>
      </w:pPr>
      <w:r w:rsidRPr="00422107">
        <w:rPr>
          <w:rFonts w:ascii="Arial" w:hAnsi="Arial" w:cs="Arial"/>
          <w:b/>
          <w:bCs/>
          <w:sz w:val="22"/>
          <w:szCs w:val="22"/>
        </w:rPr>
        <w:t>Resultados</w:t>
      </w:r>
      <w:r w:rsidRPr="00422107">
        <w:rPr>
          <w:rFonts w:ascii="Arial" w:hAnsi="Arial" w:cs="Arial"/>
          <w:sz w:val="22"/>
          <w:szCs w:val="22"/>
        </w:rPr>
        <w:t>:</w:t>
      </w:r>
      <w:r w:rsidRPr="00422107">
        <w:rPr>
          <w:rFonts w:ascii="Calibri" w:hAnsi="Calibri" w:cs="Calibri"/>
          <w:sz w:val="22"/>
          <w:szCs w:val="22"/>
        </w:rPr>
        <w:t xml:space="preserve"> El primer estudio caracterizó los predictores de resultados en Lima. 42/460 (9,1%) pacientes adherentes murieron o no se curaron con 6 meses de terapia antituberculosa observada directamente. Las características diagnósticas y la monitorización de laboratorio fueron predictores de resultados insensibles en comparación con la pérdida de peso durante el tratamiento. La caracterización de los pacientes de alto riesgo por la pérdida de peso o la positividad de la microscopía de esputo identificó al 67% de los pacientes con mal pronóstico. Este grupo de alto riesgo constituía el 24% de los pacientes después de 1 mes de tratamiento (OR = 4,5; IC del 95%: 2,6-8,3), o el 18% a los 2 meses (OR = 3,7; IC del 95%: 2,0-6,7). En un estudio de reevaluación en 410 pacientes en otro barrio pobre, esta puntuación de riesgo tuvo un desempeño similar, prediciendo un resultado desfavorable y también prediciendo correctamente después de 1 mes de tratamiento la mayor parte de la TB-MDR (OR = 3,2; IC del 95%: 1,1-9,2</w:t>
      </w:r>
      <w:r w:rsidR="00422107" w:rsidRPr="00422107">
        <w:rPr>
          <w:rFonts w:ascii="Calibri" w:hAnsi="Calibri" w:cs="Calibri"/>
          <w:sz w:val="22"/>
          <w:szCs w:val="22"/>
        </w:rPr>
        <w:t>).</w:t>
      </w:r>
    </w:p>
    <w:p w14:paraId="549E82EB" w14:textId="77777777" w:rsidR="009B4A93" w:rsidRPr="00422107" w:rsidRDefault="009B4A93" w:rsidP="009B4A93">
      <w:pPr>
        <w:jc w:val="both"/>
        <w:rPr>
          <w:rFonts w:ascii="Calibri" w:hAnsi="Calibri" w:cs="Calibri"/>
          <w:sz w:val="22"/>
          <w:szCs w:val="22"/>
        </w:rPr>
      </w:pPr>
    </w:p>
    <w:p w14:paraId="601166DB" w14:textId="77777777" w:rsidR="009B4A93" w:rsidRPr="00422107" w:rsidRDefault="009B4A93" w:rsidP="009B4A93">
      <w:pPr>
        <w:jc w:val="both"/>
        <w:rPr>
          <w:rFonts w:ascii="Calibri" w:hAnsi="Calibri" w:cs="Calibri"/>
          <w:sz w:val="22"/>
          <w:szCs w:val="22"/>
        </w:rPr>
      </w:pPr>
      <w:r w:rsidRPr="00422107">
        <w:rPr>
          <w:rFonts w:ascii="Arial" w:hAnsi="Arial" w:cs="Arial"/>
          <w:b/>
          <w:bCs/>
          <w:sz w:val="22"/>
          <w:szCs w:val="22"/>
        </w:rPr>
        <w:t>Conclusión:</w:t>
      </w:r>
      <w:r w:rsidRPr="00422107">
        <w:rPr>
          <w:rFonts w:ascii="Calibri" w:hAnsi="Calibri" w:cs="Calibri"/>
          <w:sz w:val="22"/>
          <w:szCs w:val="22"/>
        </w:rPr>
        <w:t xml:space="preserve"> Los pacientes que pierden peso durante la terapia antituberculosa tienen un alto riesgo y deben recibir una mejor atención, incluida la prueba de TB-MDR.</w:t>
      </w:r>
    </w:p>
    <w:p w14:paraId="16A3D892" w14:textId="77777777" w:rsidR="009B4A93" w:rsidRPr="00422107" w:rsidRDefault="009B4A93" w:rsidP="009B4A93">
      <w:pPr>
        <w:jc w:val="both"/>
        <w:rPr>
          <w:rFonts w:ascii="Calibri" w:hAnsi="Calibri" w:cs="Calibri"/>
          <w:sz w:val="22"/>
          <w:szCs w:val="22"/>
        </w:rPr>
      </w:pPr>
    </w:p>
    <w:p w14:paraId="42AB0C32" w14:textId="49C3AB2F" w:rsidR="009B4A93" w:rsidRPr="009B4A93" w:rsidRDefault="009B4A93" w:rsidP="009B4A93">
      <w:pPr>
        <w:jc w:val="both"/>
        <w:rPr>
          <w:rFonts w:ascii="Calibri" w:hAnsi="Calibri" w:cs="Calibri"/>
          <w:sz w:val="22"/>
          <w:szCs w:val="22"/>
        </w:rPr>
      </w:pPr>
      <w:r w:rsidRPr="009B4A93">
        <w:rPr>
          <w:rFonts w:ascii="Calibri" w:hAnsi="Calibri" w:cs="Calibri"/>
          <w:sz w:val="22"/>
          <w:szCs w:val="22"/>
        </w:rPr>
        <w:t xml:space="preserve">Correo electrónico: </w:t>
      </w:r>
      <w:hyperlink r:id="rId5" w:history="1">
        <w:r w:rsidR="00263506" w:rsidRPr="0033249A">
          <w:rPr>
            <w:rStyle w:val="Hipervnculo"/>
            <w:rFonts w:ascii="Calibri" w:hAnsi="Calibri" w:cs="Calibri"/>
            <w:sz w:val="22"/>
            <w:szCs w:val="22"/>
          </w:rPr>
          <w:t>abo03887@yahoo.com</w:t>
        </w:r>
      </w:hyperlink>
      <w:r w:rsidR="00263506">
        <w:rPr>
          <w:rFonts w:ascii="Calibri" w:hAnsi="Calibri" w:cs="Calibri"/>
          <w:sz w:val="22"/>
          <w:szCs w:val="22"/>
        </w:rPr>
        <w:t xml:space="preserve"> </w:t>
      </w:r>
    </w:p>
    <w:p w14:paraId="12962B94" w14:textId="77777777" w:rsidR="009B4A93" w:rsidRDefault="009B4A93">
      <w:bookmarkStart w:id="0" w:name="_GoBack"/>
      <w:bookmarkEnd w:id="0"/>
    </w:p>
    <w:sectPr w:rsidR="009B4A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A93"/>
    <w:rsid w:val="00263506"/>
    <w:rsid w:val="00422107"/>
    <w:rsid w:val="009B4A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C12DB"/>
  <w15:chartTrackingRefBased/>
  <w15:docId w15:val="{2773A04D-15B8-4329-80A4-B840FFF8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A93"/>
    <w:pPr>
      <w:spacing w:after="0" w:line="240" w:lineRule="auto"/>
    </w:pPr>
    <w:rPr>
      <w:rFonts w:ascii="Times New Roman" w:eastAsia="Times New Roman" w:hAnsi="Times New Roman" w:cs="Times New Roman"/>
      <w:sz w:val="24"/>
      <w:szCs w:val="24"/>
      <w:lang w:val="es-PE"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9B4A93"/>
    <w:rPr>
      <w:rFonts w:cs="Times New Roman"/>
      <w:color w:val="0000FF"/>
      <w:u w:val="single"/>
    </w:rPr>
  </w:style>
  <w:style w:type="character" w:customStyle="1" w:styleId="UnresolvedMention">
    <w:name w:val="Unresolved Mention"/>
    <w:basedOn w:val="Fuentedeprrafopredeter"/>
    <w:uiPriority w:val="99"/>
    <w:semiHidden/>
    <w:unhideWhenUsed/>
    <w:rsid w:val="00263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bo03887@yahoo.com" TargetMode="External"/><Relationship Id="rId4" Type="http://schemas.openxmlformats.org/officeDocument/2006/relationships/hyperlink" Target="http://www.ifhad.org/wp-content/uploads/2020/05/Bernabe_A_2007_p12_Weight_loss_predict_MDRTB_Wellcome_Trust_abstract_CAWE_zx.doc.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344</Words>
  <Characters>1895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3</cp:revision>
  <dcterms:created xsi:type="dcterms:W3CDTF">2020-08-29T18:18:00Z</dcterms:created>
  <dcterms:modified xsi:type="dcterms:W3CDTF">2020-09-12T13:40:00Z</dcterms:modified>
</cp:coreProperties>
</file>