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87D53" w14:textId="77777777" w:rsidR="000808BD" w:rsidRPr="00083592" w:rsidRDefault="000808BD" w:rsidP="000808BD">
      <w:pPr>
        <w:spacing w:after="0"/>
        <w:rPr>
          <w:rFonts w:ascii="Calibri" w:hAnsi="Calibri" w:cs="Calibri"/>
          <w:lang w:val="es-PE"/>
        </w:rPr>
      </w:pPr>
      <w:proofErr w:type="spellStart"/>
      <w:r w:rsidRPr="00083592">
        <w:rPr>
          <w:rFonts w:ascii="Calibri" w:hAnsi="Calibri" w:cs="Calibri"/>
          <w:lang w:val="es-PE"/>
        </w:rPr>
        <w:t>Glover</w:t>
      </w:r>
      <w:proofErr w:type="spellEnd"/>
      <w:r w:rsidRPr="00083592">
        <w:rPr>
          <w:rFonts w:ascii="Calibri" w:hAnsi="Calibri" w:cs="Calibri"/>
          <w:lang w:val="es-PE"/>
        </w:rPr>
        <w:t xml:space="preserve"> S, Quino W, Herrera B, Valencia T, Ramos E, Riveros W, </w:t>
      </w:r>
      <w:proofErr w:type="spellStart"/>
      <w:r w:rsidRPr="00083592">
        <w:rPr>
          <w:rFonts w:ascii="Calibri" w:hAnsi="Calibri" w:cs="Calibri"/>
          <w:lang w:val="es-PE"/>
        </w:rPr>
        <w:t>Llacza</w:t>
      </w:r>
      <w:proofErr w:type="spellEnd"/>
      <w:r w:rsidRPr="00083592">
        <w:rPr>
          <w:rFonts w:ascii="Calibri" w:hAnsi="Calibri" w:cs="Calibri"/>
          <w:lang w:val="es-PE"/>
        </w:rPr>
        <w:t xml:space="preserve"> M, Evans CA.</w:t>
      </w:r>
      <w:r w:rsidRPr="00083592">
        <w:rPr>
          <w:rFonts w:ascii="Calibri" w:hAnsi="Calibri" w:cs="Calibri"/>
          <w:lang w:val="es-PE"/>
        </w:rPr>
        <w:br/>
      </w:r>
      <w:r w:rsidRPr="00083592">
        <w:rPr>
          <w:rFonts w:ascii="Calibri" w:hAnsi="Calibri" w:cs="Calibri"/>
          <w:u w:val="single"/>
          <w:lang w:val="es-PE"/>
        </w:rPr>
        <w:t>Diagnóstico de campo de TB y MDR-TB: el efecto de la prueba de esputo tardía</w:t>
      </w:r>
      <w:r w:rsidRPr="00083592">
        <w:rPr>
          <w:rFonts w:ascii="Calibri" w:hAnsi="Calibri" w:cs="Calibri"/>
          <w:u w:val="single"/>
          <w:lang w:val="es-PE"/>
        </w:rPr>
        <w:br/>
      </w:r>
      <w:r w:rsidRPr="00083592">
        <w:rPr>
          <w:rFonts w:ascii="Calibri" w:hAnsi="Calibri" w:cs="Calibri"/>
          <w:lang w:val="es-PE"/>
        </w:rPr>
        <w:t>Presentación de resumen PS-100573-14, 14 de noviembre de 2010.</w:t>
      </w:r>
    </w:p>
    <w:p w14:paraId="0DAEB3A3" w14:textId="7F3B0165" w:rsidR="000808BD" w:rsidRDefault="000808BD" w:rsidP="000808BD">
      <w:pPr>
        <w:spacing w:after="0"/>
        <w:rPr>
          <w:rFonts w:ascii="Calibri" w:hAnsi="Calibri" w:cs="Calibri"/>
        </w:rPr>
      </w:pPr>
      <w:r w:rsidRPr="00083592">
        <w:rPr>
          <w:rFonts w:ascii="Calibri" w:hAnsi="Calibri" w:cs="Calibri"/>
          <w:lang w:val="es-PE"/>
        </w:rPr>
        <w:t>En Actas de la 41ª Conferencia Mundial sobre Salud Pulmonar de la Unión Internacional contra la Tuberculosis y las Enfermedades Pulmonares (La Unión): 11 a 15 de noviembre de 2010; Berlín, Alemania.</w:t>
      </w:r>
      <w:r w:rsidRPr="00083592">
        <w:rPr>
          <w:rFonts w:ascii="Calibri" w:hAnsi="Calibri" w:cs="Calibri"/>
          <w:lang w:val="es-PE"/>
        </w:rPr>
        <w:br/>
      </w:r>
      <w:r w:rsidRPr="000808BD">
        <w:rPr>
          <w:rFonts w:ascii="Calibri" w:hAnsi="Calibri" w:cs="Calibri"/>
          <w:i/>
          <w:iCs/>
        </w:rPr>
        <w:t>International Journal of Tuberculosis and Lung Disease</w:t>
      </w:r>
      <w:r w:rsidRPr="000808BD">
        <w:rPr>
          <w:rFonts w:ascii="Calibri" w:hAnsi="Calibri" w:cs="Calibri"/>
        </w:rPr>
        <w:t xml:space="preserve"> 2010</w:t>
      </w:r>
      <w:r w:rsidR="00083592" w:rsidRPr="000808BD">
        <w:rPr>
          <w:rFonts w:ascii="Calibri" w:hAnsi="Calibri" w:cs="Calibri"/>
        </w:rPr>
        <w:t>; 14</w:t>
      </w:r>
      <w:r w:rsidRPr="000808BD">
        <w:rPr>
          <w:rFonts w:ascii="Calibri" w:hAnsi="Calibri" w:cs="Calibri"/>
        </w:rPr>
        <w:t>(11 Suppl 2):S276-277.</w:t>
      </w:r>
      <w:r w:rsidRPr="000808BD">
        <w:rPr>
          <w:rFonts w:ascii="Calibri" w:hAnsi="Calibri" w:cs="Calibri"/>
        </w:rPr>
        <w:br/>
        <w:t>Acceso abierto: </w:t>
      </w:r>
      <w:hyperlink r:id="rId4" w:history="1">
        <w:r w:rsidRPr="000808BD">
          <w:rPr>
            <w:rStyle w:val="Hipervnculo"/>
            <w:rFonts w:ascii="Calibri" w:hAnsi="Calibri" w:cs="Calibri"/>
          </w:rPr>
          <w:t>https://www.theunion.org/what-we-do/journals/ijtld/body/ABSTRACT_BOOK_2010_Web.pdf</w:t>
        </w:r>
      </w:hyperlink>
    </w:p>
    <w:p w14:paraId="5882CD39" w14:textId="2F295982" w:rsidR="000808BD" w:rsidRDefault="000808BD" w:rsidP="000808BD">
      <w:pPr>
        <w:spacing w:after="0"/>
        <w:rPr>
          <w:rFonts w:ascii="Calibri" w:hAnsi="Calibri" w:cs="Calibri"/>
        </w:rPr>
      </w:pPr>
    </w:p>
    <w:p w14:paraId="605BA6D8" w14:textId="77777777" w:rsidR="000808BD" w:rsidRDefault="000808BD" w:rsidP="000808BD">
      <w:pPr>
        <w:spacing w:after="0"/>
        <w:rPr>
          <w:rFonts w:ascii="Calibri" w:hAnsi="Calibri" w:cs="Calibri"/>
        </w:rPr>
      </w:pPr>
      <w:bookmarkStart w:id="0" w:name="_GoBack"/>
      <w:bookmarkEnd w:id="0"/>
    </w:p>
    <w:p w14:paraId="0F757CFA" w14:textId="5C36D7EC" w:rsidR="000808BD" w:rsidRPr="00083592" w:rsidRDefault="000808BD" w:rsidP="000808BD">
      <w:pPr>
        <w:spacing w:after="0"/>
        <w:jc w:val="both"/>
        <w:rPr>
          <w:rFonts w:ascii="Calibri" w:hAnsi="Calibri" w:cs="Calibri"/>
          <w:lang w:val="es-PE"/>
        </w:rPr>
      </w:pPr>
      <w:r w:rsidRPr="00083592">
        <w:rPr>
          <w:rFonts w:ascii="Arial" w:hAnsi="Arial" w:cs="Arial"/>
          <w:b/>
          <w:bCs/>
          <w:lang w:val="es-PE"/>
        </w:rPr>
        <w:t>Antecedentes</w:t>
      </w:r>
      <w:r w:rsidRPr="00083592">
        <w:rPr>
          <w:rFonts w:ascii="Calibri" w:hAnsi="Calibri" w:cs="Calibri"/>
          <w:lang w:val="es-PE"/>
        </w:rPr>
        <w:t>: La complejidad y el riesgo biológico de la descontaminación de esputo convencional restringen en gran medida el cultivo de tuberculosis con pruebas de sensibilidad a fármacos a los laboratorios de referencia. Por lo tanto, los diagnósticos de tuberculosis sensibles a menudo no están disponibles donde más se necesitan. El transporte de muestras de esputo en desinfectante permite realizar pruebas de campo para TB y MDR-TB. Estudiamos el efecto de las pruebas demoradas en los resultados de la microscopía de esputo y el cultivo de campo para la tuberculosis.</w:t>
      </w:r>
    </w:p>
    <w:p w14:paraId="29483506" w14:textId="77777777" w:rsidR="000808BD" w:rsidRPr="00083592" w:rsidRDefault="000808BD" w:rsidP="000808BD">
      <w:pPr>
        <w:spacing w:after="0"/>
        <w:jc w:val="both"/>
        <w:rPr>
          <w:rFonts w:ascii="Calibri" w:hAnsi="Calibri" w:cs="Calibri"/>
          <w:lang w:val="es-PE"/>
        </w:rPr>
      </w:pPr>
    </w:p>
    <w:p w14:paraId="279457A4" w14:textId="1097EB44" w:rsidR="000808BD" w:rsidRPr="00083592" w:rsidRDefault="000808BD" w:rsidP="000808BD">
      <w:pPr>
        <w:spacing w:after="0"/>
        <w:jc w:val="both"/>
        <w:rPr>
          <w:rFonts w:ascii="Calibri" w:hAnsi="Calibri" w:cs="Calibri"/>
          <w:lang w:val="es-PE"/>
        </w:rPr>
      </w:pPr>
      <w:r w:rsidRPr="00083592">
        <w:rPr>
          <w:rFonts w:ascii="Arial" w:hAnsi="Arial" w:cs="Arial"/>
          <w:b/>
          <w:bCs/>
          <w:lang w:val="es-PE"/>
        </w:rPr>
        <w:t>Métodos</w:t>
      </w:r>
      <w:r w:rsidRPr="00083592">
        <w:rPr>
          <w:rFonts w:ascii="Calibri" w:hAnsi="Calibri" w:cs="Calibri"/>
          <w:b/>
          <w:bCs/>
          <w:lang w:val="es-PE"/>
        </w:rPr>
        <w:t>:</w:t>
      </w:r>
      <w:r w:rsidRPr="00083592">
        <w:rPr>
          <w:rFonts w:ascii="Calibri" w:hAnsi="Calibri" w:cs="Calibri"/>
          <w:lang w:val="es-PE"/>
        </w:rPr>
        <w:t xml:space="preserve"> Se recolectaron muestras de esputo pareadas de 204 pacientes con sospecha de TB, la mitad en un recipiente de esputo seco para su análisis mediante microscopía Ziehl-Neelsen (ZN). La otra mitad fue expectorada directamente en medio de transporte desinfectante a base de fosfato trisódico y al llegar al laboratorio se aplicaron 2 gotas directamente sobre agar selectivo 7H11 sin ningún procesamiento. Después de 24 horas de almacenamiento, otro se aplicaron 2 gotas a otra placa de cultivo. Las placas incluían cuadrantes con isoniazida y rifampicina para pruebas de susceptibilidad directa. Posteriormente, 6 pacientes con TB con baciloscopia positiva recién diagnosticada proporcionaron grandes volúmenes de esputo que se cultivaron después de 0 a 7 días de almacenamiento en desinfectante. Se realizó microscopía de ZN en esputo puro después de los mismos intervalos de tiempo.</w:t>
      </w:r>
    </w:p>
    <w:p w14:paraId="00F2E97A" w14:textId="77777777" w:rsidR="000808BD" w:rsidRPr="00083592" w:rsidRDefault="000808BD" w:rsidP="000808BD">
      <w:pPr>
        <w:spacing w:after="0"/>
        <w:jc w:val="both"/>
        <w:rPr>
          <w:rFonts w:ascii="Calibri" w:hAnsi="Calibri" w:cs="Calibri"/>
          <w:lang w:val="es-PE"/>
        </w:rPr>
      </w:pPr>
    </w:p>
    <w:p w14:paraId="7919530A" w14:textId="2262D03B" w:rsidR="000808BD" w:rsidRPr="00083592" w:rsidRDefault="000808BD" w:rsidP="000808BD">
      <w:pPr>
        <w:spacing w:after="0"/>
        <w:jc w:val="both"/>
        <w:rPr>
          <w:rFonts w:ascii="Calibri" w:hAnsi="Calibri" w:cs="Calibri"/>
          <w:lang w:val="es-PE"/>
        </w:rPr>
      </w:pPr>
      <w:r w:rsidRPr="00083592">
        <w:rPr>
          <w:rFonts w:ascii="Arial" w:hAnsi="Arial" w:cs="Arial"/>
          <w:b/>
          <w:bCs/>
          <w:lang w:val="es-PE"/>
        </w:rPr>
        <w:t>Resultados</w:t>
      </w:r>
      <w:r w:rsidRPr="00083592">
        <w:rPr>
          <w:rFonts w:ascii="Calibri" w:hAnsi="Calibri" w:cs="Calibri"/>
          <w:b/>
          <w:bCs/>
          <w:lang w:val="es-PE"/>
        </w:rPr>
        <w:t>:</w:t>
      </w:r>
      <w:r w:rsidRPr="00083592">
        <w:rPr>
          <w:rFonts w:ascii="Calibri" w:hAnsi="Calibri" w:cs="Calibri"/>
          <w:lang w:val="es-PE"/>
        </w:rPr>
        <w:t xml:space="preserve"> El cultivo del mismo día detectó un 70% más de casos de tuberculosis que la microscopía (32% frente a 19% positivo, P &lt;0,0001). Cuando se retrasó hasta el día siguiente, el cultivo se mantuvo superior a la microscopía (29% frente a 19% positivo, P = 0,002; gráfico A). El cultivo posterior a un almacenamiento de hasta 3 días en desinfectante tuvo una mayor sensibilidad que la microscopía para el diagnóstico, al tiempo que permitió la prueba de resistencia concurrente (gráfico B). Después de 3 días, la sensibilidad para el diagnóstico se redujo a menos que la de</w:t>
      </w:r>
      <w:r w:rsidR="00B949CC" w:rsidRPr="00083592">
        <w:rPr>
          <w:rFonts w:ascii="Calibri" w:hAnsi="Calibri" w:cs="Calibri"/>
          <w:lang w:val="es-PE"/>
        </w:rPr>
        <w:t xml:space="preserve"> </w:t>
      </w:r>
      <w:r w:rsidRPr="00083592">
        <w:rPr>
          <w:rFonts w:ascii="Calibri" w:hAnsi="Calibri" w:cs="Calibri"/>
          <w:lang w:val="es-PE"/>
        </w:rPr>
        <w:t>microscopía.</w:t>
      </w:r>
    </w:p>
    <w:p w14:paraId="5B93A572" w14:textId="77777777" w:rsidR="000808BD" w:rsidRPr="00083592" w:rsidRDefault="000808BD" w:rsidP="000808BD">
      <w:pPr>
        <w:spacing w:after="0"/>
        <w:jc w:val="both"/>
        <w:rPr>
          <w:rFonts w:ascii="Calibri" w:hAnsi="Calibri" w:cs="Calibri"/>
          <w:lang w:val="es-PE"/>
        </w:rPr>
      </w:pPr>
    </w:p>
    <w:p w14:paraId="247CF67F" w14:textId="74420702" w:rsidR="000808BD" w:rsidRPr="00083592" w:rsidRDefault="000808BD" w:rsidP="000808BD">
      <w:pPr>
        <w:spacing w:after="0"/>
        <w:jc w:val="both"/>
        <w:rPr>
          <w:rFonts w:ascii="Calibri" w:hAnsi="Calibri" w:cs="Calibri"/>
          <w:lang w:val="es-PE"/>
        </w:rPr>
      </w:pPr>
      <w:r w:rsidRPr="00083592">
        <w:rPr>
          <w:rFonts w:ascii="Arial" w:hAnsi="Arial" w:cs="Arial"/>
          <w:b/>
          <w:bCs/>
          <w:lang w:val="es-PE"/>
        </w:rPr>
        <w:t>Conclusiones</w:t>
      </w:r>
      <w:r w:rsidRPr="00083592">
        <w:rPr>
          <w:rFonts w:ascii="Calibri" w:hAnsi="Calibri" w:cs="Calibri"/>
          <w:lang w:val="es-PE"/>
        </w:rPr>
        <w:t>: La desinfección de esputo en tránsito permitió el cultivo de TB con pruebas concurrentes de TB-MDR usando habilidades técnicas y equipo mínimos. El esputo desinfectado en tránsito debe procesarse en los primeros días después de la recolección; o si el tránsito prolongado es inevitable luego, la desinfección debe posponerse hasta que el esputo llegue al laboratorio.</w:t>
      </w:r>
    </w:p>
    <w:sectPr w:rsidR="000808BD" w:rsidRPr="00083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BD"/>
    <w:rsid w:val="000808BD"/>
    <w:rsid w:val="00083592"/>
    <w:rsid w:val="00B949CC"/>
    <w:rsid w:val="00D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862D8"/>
  <w15:chartTrackingRefBased/>
  <w15:docId w15:val="{8AC43DC9-481E-4601-A9F6-EB47E929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08BD"/>
    <w:rPr>
      <w:rFonts w:ascii="Times New Roman" w:hAnsi="Times New Roman" w:cs="Times New Roman" w:hint="default"/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808BD"/>
    <w:rPr>
      <w:rFonts w:ascii="Garamond" w:hAnsi="Garamond" w:hint="default"/>
      <w:i w:val="0"/>
      <w:iCs w:val="0"/>
      <w:caps/>
      <w:spacing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ABSTRACT_BOOK_2010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3</cp:revision>
  <dcterms:created xsi:type="dcterms:W3CDTF">2020-08-28T17:21:00Z</dcterms:created>
  <dcterms:modified xsi:type="dcterms:W3CDTF">2020-09-12T17:10:00Z</dcterms:modified>
</cp:coreProperties>
</file>