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57712" w14:textId="77777777" w:rsidR="00E047EE" w:rsidRPr="00E047EE" w:rsidRDefault="00E047EE" w:rsidP="00E047EE">
      <w:pPr>
        <w:spacing w:after="0"/>
        <w:rPr>
          <w:rFonts w:ascii="Calibri" w:hAnsi="Calibri" w:cs="Calibri"/>
        </w:rPr>
      </w:pPr>
      <w:r w:rsidRPr="00E047EE">
        <w:rPr>
          <w:rFonts w:ascii="Calibri" w:hAnsi="Calibri" w:cs="Calibri"/>
        </w:rPr>
        <w:t xml:space="preserve">Ramos ES, Osorio CE, Valencia TR, </w:t>
      </w:r>
      <w:proofErr w:type="spellStart"/>
      <w:r w:rsidRPr="00E047EE">
        <w:rPr>
          <w:rFonts w:ascii="Calibri" w:hAnsi="Calibri" w:cs="Calibri"/>
        </w:rPr>
        <w:t>Llacza</w:t>
      </w:r>
      <w:proofErr w:type="spellEnd"/>
      <w:r w:rsidRPr="00E047EE">
        <w:rPr>
          <w:rFonts w:ascii="Calibri" w:hAnsi="Calibri" w:cs="Calibri"/>
        </w:rPr>
        <w:t xml:space="preserve"> MF, Tovar MA, Montoya R, </w:t>
      </w:r>
      <w:proofErr w:type="spellStart"/>
      <w:r w:rsidRPr="00E047EE">
        <w:rPr>
          <w:rFonts w:ascii="Calibri" w:hAnsi="Calibri" w:cs="Calibri"/>
        </w:rPr>
        <w:t>Wingfield</w:t>
      </w:r>
      <w:proofErr w:type="spellEnd"/>
      <w:r w:rsidRPr="00E047EE">
        <w:rPr>
          <w:rFonts w:ascii="Calibri" w:hAnsi="Calibri" w:cs="Calibri"/>
        </w:rPr>
        <w:t xml:space="preserve"> T, Evans CA.</w:t>
      </w:r>
      <w:r w:rsidRPr="00E047EE">
        <w:rPr>
          <w:rFonts w:ascii="Calibri" w:hAnsi="Calibri" w:cs="Calibri"/>
        </w:rPr>
        <w:br/>
      </w:r>
      <w:r w:rsidRPr="00E047EE">
        <w:rPr>
          <w:rFonts w:ascii="Calibri" w:hAnsi="Calibri" w:cs="Calibri"/>
          <w:u w:val="single"/>
          <w:bdr w:val="none" w:sz="0" w:space="0" w:color="auto" w:frame="1"/>
        </w:rPr>
        <w:t>La especificidad de la prueba de color MDR- / XDR-TB para diferenciar Mycobacterium tuberculosis de micobacterias atípicas</w:t>
      </w:r>
      <w:r w:rsidRPr="00E047EE">
        <w:rPr>
          <w:rFonts w:ascii="Calibri" w:hAnsi="Calibri" w:cs="Calibri"/>
        </w:rPr>
        <w:br/>
        <w:t>Beca para Ramos E, p.71.</w:t>
      </w:r>
    </w:p>
    <w:p w14:paraId="58A464F0" w14:textId="3865D3D1" w:rsidR="00E047EE" w:rsidRDefault="00E047EE" w:rsidP="00E047EE">
      <w:pPr>
        <w:spacing w:after="0"/>
        <w:rPr>
          <w:rStyle w:val="Hipervnculo"/>
          <w:rFonts w:ascii="Calibri" w:hAnsi="Calibri" w:cs="Calibri"/>
          <w:color w:val="auto"/>
          <w:bdr w:val="none" w:sz="0" w:space="0" w:color="auto" w:frame="1"/>
        </w:rPr>
      </w:pPr>
      <w:r w:rsidRPr="00E047EE">
        <w:rPr>
          <w:rFonts w:ascii="Calibri" w:hAnsi="Calibri" w:cs="Calibri"/>
        </w:rPr>
        <w:t>En Actas de la 17ª Conferencia Anual de la Unión Internacional Contra la Tuberculosis y Enfermedades Pulmonares - Región de América del Norte y Asociación Nacional de Controladores de la Tuberculosis: 28 de febrero - 2 de marzo de 2013; Vancouver, BC, Canadá.</w:t>
      </w:r>
      <w:r w:rsidRPr="00E047EE">
        <w:rPr>
          <w:rFonts w:ascii="Calibri" w:hAnsi="Calibri" w:cs="Calibri"/>
        </w:rPr>
        <w:br/>
      </w:r>
      <w:r>
        <w:rPr>
          <w:rFonts w:ascii="Calibri" w:hAnsi="Calibri" w:cs="Calibri"/>
        </w:rPr>
        <w:t>Acceso abierto</w:t>
      </w:r>
      <w:r w:rsidRPr="00E047EE">
        <w:rPr>
          <w:rFonts w:ascii="Calibri" w:hAnsi="Calibri" w:cs="Calibri"/>
        </w:rPr>
        <w:t>: </w:t>
      </w:r>
      <w:hyperlink r:id="rId4" w:history="1">
        <w:r w:rsidRPr="00E047EE">
          <w:rPr>
            <w:rStyle w:val="Hipervnculo"/>
            <w:rFonts w:ascii="Calibri" w:hAnsi="Calibri" w:cs="Calibri"/>
            <w:bdr w:val="none" w:sz="0" w:space="0" w:color="auto" w:frame="1"/>
          </w:rPr>
          <w:t>PDF</w:t>
        </w:r>
      </w:hyperlink>
      <w:r w:rsidRPr="00E047EE">
        <w:rPr>
          <w:rFonts w:ascii="Calibri" w:hAnsi="Calibri" w:cs="Calibri"/>
        </w:rPr>
        <w:br/>
      </w:r>
      <w:r>
        <w:rPr>
          <w:rFonts w:ascii="Calibri" w:hAnsi="Calibri" w:cs="Calibri"/>
        </w:rPr>
        <w:t>Acceso abierto alternativo</w:t>
      </w:r>
      <w:r w:rsidRPr="00E047EE">
        <w:rPr>
          <w:rFonts w:ascii="Calibri" w:hAnsi="Calibri" w:cs="Calibri"/>
        </w:rPr>
        <w:t>: </w:t>
      </w:r>
      <w:proofErr w:type="spellStart"/>
      <w:r w:rsidR="0054584B">
        <w:rPr>
          <w:rStyle w:val="Hipervnculo"/>
          <w:rFonts w:ascii="Calibri" w:hAnsi="Calibri" w:cs="Calibri"/>
          <w:bdr w:val="none" w:sz="0" w:space="0" w:color="auto" w:frame="1"/>
        </w:rPr>
        <w:fldChar w:fldCharType="begin"/>
      </w:r>
      <w:r w:rsidR="0054584B">
        <w:rPr>
          <w:rStyle w:val="Hipervnculo"/>
          <w:rFonts w:ascii="Calibri" w:hAnsi="Calibri" w:cs="Calibri"/>
          <w:bdr w:val="none" w:sz="0" w:space="0" w:color="auto" w:frame="1"/>
        </w:rPr>
        <w:instrText xml:space="preserve"> HYPERLINK "http://www.ifhad.org/wp-content/uploads/2020/05/Colour_Test_publications_to_Dec201</w:instrText>
      </w:r>
      <w:r w:rsidR="0054584B">
        <w:rPr>
          <w:rStyle w:val="Hipervnculo"/>
          <w:rFonts w:ascii="Calibri" w:hAnsi="Calibri" w:cs="Calibri"/>
          <w:bdr w:val="none" w:sz="0" w:space="0" w:color="auto" w:frame="1"/>
        </w:rPr>
        <w:instrText xml:space="preserve">3_SENT-copy.pdf" </w:instrText>
      </w:r>
      <w:r w:rsidR="0054584B">
        <w:rPr>
          <w:rStyle w:val="Hipervnculo"/>
          <w:rFonts w:ascii="Calibri" w:hAnsi="Calibri" w:cs="Calibri"/>
          <w:bdr w:val="none" w:sz="0" w:space="0" w:color="auto" w:frame="1"/>
        </w:rPr>
        <w:fldChar w:fldCharType="separate"/>
      </w:r>
      <w:r w:rsidRPr="00E047EE">
        <w:rPr>
          <w:rStyle w:val="Hipervnculo"/>
          <w:rFonts w:ascii="Calibri" w:hAnsi="Calibri" w:cs="Calibri"/>
          <w:bdr w:val="none" w:sz="0" w:space="0" w:color="auto" w:frame="1"/>
        </w:rPr>
        <w:t>Click</w:t>
      </w:r>
      <w:proofErr w:type="spellEnd"/>
      <w:r w:rsidRPr="00E047EE">
        <w:rPr>
          <w:rStyle w:val="Hipervnculo"/>
          <w:rFonts w:ascii="Calibri" w:hAnsi="Calibri" w:cs="Calibri"/>
          <w:bdr w:val="none" w:sz="0" w:space="0" w:color="auto" w:frame="1"/>
        </w:rPr>
        <w:t xml:space="preserve"> </w:t>
      </w:r>
      <w:proofErr w:type="spellStart"/>
      <w:r w:rsidRPr="00E047EE">
        <w:rPr>
          <w:rStyle w:val="Hipervnculo"/>
          <w:rFonts w:ascii="Calibri" w:hAnsi="Calibri" w:cs="Calibri"/>
          <w:bdr w:val="none" w:sz="0" w:space="0" w:color="auto" w:frame="1"/>
        </w:rPr>
        <w:t>here</w:t>
      </w:r>
      <w:proofErr w:type="spellEnd"/>
      <w:r w:rsidR="0054584B">
        <w:rPr>
          <w:rStyle w:val="Hipervnculo"/>
          <w:rFonts w:ascii="Calibri" w:hAnsi="Calibri" w:cs="Calibri"/>
          <w:bdr w:val="none" w:sz="0" w:space="0" w:color="auto" w:frame="1"/>
        </w:rPr>
        <w:fldChar w:fldCharType="end"/>
      </w:r>
    </w:p>
    <w:p w14:paraId="1733CFAD" w14:textId="39B2EB3A" w:rsidR="00E047EE" w:rsidRDefault="00E047EE">
      <w:pPr>
        <w:rPr>
          <w:rStyle w:val="Hipervnculo"/>
          <w:rFonts w:ascii="Calibri" w:hAnsi="Calibri" w:cs="Calibri"/>
          <w:color w:val="auto"/>
          <w:bdr w:val="none" w:sz="0" w:space="0" w:color="auto" w:frame="1"/>
        </w:rPr>
      </w:pPr>
    </w:p>
    <w:p w14:paraId="3342C504" w14:textId="18B09E58" w:rsidR="00E047EE" w:rsidRPr="00E047EE" w:rsidRDefault="00E047EE" w:rsidP="00E047EE">
      <w:pPr>
        <w:jc w:val="both"/>
        <w:rPr>
          <w:rFonts w:ascii="Calibri" w:hAnsi="Calibri" w:cs="Calibri"/>
        </w:rPr>
      </w:pPr>
      <w:r w:rsidRPr="00E047EE">
        <w:rPr>
          <w:rFonts w:ascii="Arial" w:hAnsi="Arial" w:cs="Arial"/>
          <w:b/>
          <w:bCs/>
        </w:rPr>
        <w:t>Antecedentes</w:t>
      </w:r>
      <w:r w:rsidRPr="00E047EE">
        <w:rPr>
          <w:rFonts w:ascii="Calibri" w:hAnsi="Calibri" w:cs="Calibri"/>
          <w:b/>
          <w:bCs/>
        </w:rPr>
        <w:t>:</w:t>
      </w:r>
      <w:r w:rsidRPr="00E047EE">
        <w:rPr>
          <w:rFonts w:ascii="Calibri" w:hAnsi="Calibri" w:cs="Calibri"/>
        </w:rPr>
        <w:t xml:space="preserve"> </w:t>
      </w:r>
      <w:r>
        <w:rPr>
          <w:rFonts w:ascii="Calibri" w:hAnsi="Calibri" w:cs="Calibri"/>
        </w:rPr>
        <w:t>P</w:t>
      </w:r>
      <w:r w:rsidRPr="00E047EE">
        <w:rPr>
          <w:rFonts w:ascii="Calibri" w:hAnsi="Calibri" w:cs="Calibri"/>
        </w:rPr>
        <w:t>ara el diagnóstico de TB basado en cultivos en entornos con recursos limitados, M. tuberculosis generalmente se diferencia de las micobacterias atípicas por la presencia de morfología de cordones. Sin embargo,</w:t>
      </w:r>
      <w:r>
        <w:rPr>
          <w:rFonts w:ascii="Calibri" w:hAnsi="Calibri" w:cs="Calibri"/>
        </w:rPr>
        <w:t xml:space="preserve"> </w:t>
      </w:r>
      <w:r w:rsidRPr="00E047EE">
        <w:rPr>
          <w:rFonts w:ascii="Calibri" w:hAnsi="Calibri" w:cs="Calibri"/>
        </w:rPr>
        <w:t>la confiabilidad de este enfoque está pobremente caracterizada y no se ha informado para la nueva técnica de prueba de color MDR / XDR-TB en la que las muestras se descontaminan en el recipiente de esputo y</w:t>
      </w:r>
      <w:r>
        <w:rPr>
          <w:rFonts w:ascii="Calibri" w:hAnsi="Calibri" w:cs="Calibri"/>
        </w:rPr>
        <w:t xml:space="preserve"> </w:t>
      </w:r>
      <w:r w:rsidRPr="00E047EE">
        <w:rPr>
          <w:rFonts w:ascii="Calibri" w:hAnsi="Calibri" w:cs="Calibri"/>
        </w:rPr>
        <w:t>aplicado directamente a una placa de cultivo de agar de capa fina sellada que cambia de color si la TB crece, proporcionando pruebas concurrentes de TB-MDR y detección de TB-XDR en laboratorios básicos.</w:t>
      </w:r>
    </w:p>
    <w:p w14:paraId="1A51975B" w14:textId="26F4D155" w:rsidR="00E047EE" w:rsidRPr="00E047EE" w:rsidRDefault="00E047EE" w:rsidP="00E047EE">
      <w:pPr>
        <w:jc w:val="both"/>
        <w:rPr>
          <w:rFonts w:ascii="Calibri" w:hAnsi="Calibri" w:cs="Calibri"/>
        </w:rPr>
      </w:pPr>
      <w:r w:rsidRPr="00E047EE">
        <w:rPr>
          <w:rFonts w:ascii="Arial" w:hAnsi="Arial" w:cs="Arial"/>
          <w:b/>
          <w:bCs/>
        </w:rPr>
        <w:t>Métodos</w:t>
      </w:r>
      <w:r w:rsidRPr="00E047EE">
        <w:rPr>
          <w:rFonts w:ascii="Arial" w:hAnsi="Arial" w:cs="Arial"/>
        </w:rPr>
        <w:t>:</w:t>
      </w:r>
      <w:r w:rsidRPr="00E047EE">
        <w:rPr>
          <w:rFonts w:ascii="Calibri" w:hAnsi="Calibri" w:cs="Calibri"/>
        </w:rPr>
        <w:t xml:space="preserve"> Se realizaron cultivos positivos de micobacterias (n = 4,371) de las técnicas de cultivo de Susceptibilidad a Fármacos de Observación Microscópica (MODS), Ogawa, </w:t>
      </w:r>
      <w:proofErr w:type="spellStart"/>
      <w:r w:rsidRPr="00E047EE">
        <w:rPr>
          <w:rFonts w:ascii="Calibri" w:hAnsi="Calibri" w:cs="Calibri"/>
        </w:rPr>
        <w:t>Lowenstein</w:t>
      </w:r>
      <w:proofErr w:type="spellEnd"/>
      <w:r w:rsidRPr="00E047EE">
        <w:rPr>
          <w:rFonts w:ascii="Calibri" w:hAnsi="Calibri" w:cs="Calibri"/>
        </w:rPr>
        <w:t xml:space="preserve"> Jensen (LJ) y Prueba de Color</w:t>
      </w:r>
      <w:r>
        <w:rPr>
          <w:rFonts w:ascii="Calibri" w:hAnsi="Calibri" w:cs="Calibri"/>
        </w:rPr>
        <w:t xml:space="preserve"> </w:t>
      </w:r>
      <w:r w:rsidRPr="00E047EE">
        <w:rPr>
          <w:rFonts w:ascii="Calibri" w:hAnsi="Calibri" w:cs="Calibri"/>
        </w:rPr>
        <w:t>se volvió a realizar la prueba con el ensayo rápido inmunocromatográfico estándar de oro Capilia TB Neo para el complejo M. tuberculosis que se realizó de acuerdo con las instrucciones del fabricante utilizando 80 µl</w:t>
      </w:r>
      <w:r>
        <w:rPr>
          <w:rFonts w:ascii="Calibri" w:hAnsi="Calibri" w:cs="Calibri"/>
        </w:rPr>
        <w:t xml:space="preserve"> </w:t>
      </w:r>
      <w:r w:rsidRPr="00E047EE">
        <w:rPr>
          <w:rFonts w:ascii="Calibri" w:hAnsi="Calibri" w:cs="Calibri"/>
        </w:rPr>
        <w:t>de cultivos de caldo MODS o colonias de cultivos sólidos suspendidos en tampón de extracción. Todas las pruebas se realizaron de forma ciega a todos los demás datos del estudio y las proporciones se indican con sus intervalos de confianza del 95% (IC del 95%).</w:t>
      </w:r>
    </w:p>
    <w:p w14:paraId="731BAA2E" w14:textId="00969A0A" w:rsidR="00E047EE" w:rsidRPr="00E047EE" w:rsidRDefault="00E047EE" w:rsidP="00E047EE">
      <w:pPr>
        <w:jc w:val="both"/>
        <w:rPr>
          <w:rFonts w:ascii="Calibri" w:hAnsi="Calibri" w:cs="Calibri"/>
        </w:rPr>
      </w:pPr>
      <w:r w:rsidRPr="00E047EE">
        <w:rPr>
          <w:rFonts w:ascii="Arial" w:hAnsi="Arial" w:cs="Arial"/>
          <w:b/>
          <w:bCs/>
        </w:rPr>
        <w:t>Resultados</w:t>
      </w:r>
      <w:r w:rsidRPr="00E047EE">
        <w:rPr>
          <w:rFonts w:ascii="Calibri" w:hAnsi="Calibri" w:cs="Calibri"/>
        </w:rPr>
        <w:t>: El examen de las colonias de cultivo reveló una morfología de cordones en 4362/4405 (99,02%). La proporción de estos cultivos que se identificaron morfológicamente erróneamente como M. tuberculosis pero</w:t>
      </w:r>
      <w:r>
        <w:rPr>
          <w:rFonts w:ascii="Calibri" w:hAnsi="Calibri" w:cs="Calibri"/>
        </w:rPr>
        <w:t xml:space="preserve"> </w:t>
      </w:r>
      <w:r w:rsidRPr="00E047EE">
        <w:rPr>
          <w:rFonts w:ascii="Calibri" w:hAnsi="Calibri" w:cs="Calibri"/>
        </w:rPr>
        <w:t>fueron definidos por la prueba de Capilia como micobacterias atípicas fue 5/1514 (0,33%, IC del 95% 0,11-0,77%) para MODS, 1/1044 (0,096%, IC del 95% 0,024-0,53%) para Ogawa, 0/848 para LJ y 1/955 (0,10% 95% CI 0,0027-0,58%) para la prueba de color (P&gt; 0,1), lo que indica&gt; 99,6% de especificidad. Las micobacterias atípicas fueron poco frecuentes y la prueba de Capilia confirmó que los 43/43 (100%) de los cultivos con morfología sin cordones eran micobacterias atípicas, lo que indica una especificidad del 100% (IC del 95%: 92-100%).</w:t>
      </w:r>
    </w:p>
    <w:p w14:paraId="1FF6DF92" w14:textId="049F5D3F" w:rsidR="00E047EE" w:rsidRPr="00E047EE" w:rsidRDefault="00E047EE" w:rsidP="00E047EE">
      <w:pPr>
        <w:jc w:val="both"/>
        <w:rPr>
          <w:rFonts w:ascii="Calibri" w:hAnsi="Calibri" w:cs="Calibri"/>
        </w:rPr>
      </w:pPr>
      <w:r w:rsidRPr="00E047EE">
        <w:rPr>
          <w:rFonts w:ascii="Arial" w:hAnsi="Arial" w:cs="Arial"/>
          <w:b/>
          <w:bCs/>
        </w:rPr>
        <w:t>Conclusión</w:t>
      </w:r>
      <w:r w:rsidRPr="00E047EE">
        <w:rPr>
          <w:rFonts w:ascii="Calibri" w:hAnsi="Calibri" w:cs="Calibri"/>
        </w:rPr>
        <w:t>: La diferenciación morfológica de M. tuberculosis de las micobacterias atípicas fue altamente confiable para MODS, LJ, Ogawa y las técnicas de cultivo de la prueba de color MDR / XDR-TB en agar de capa fina.</w:t>
      </w:r>
      <w:bookmarkStart w:id="0" w:name="_GoBack"/>
      <w:bookmarkEnd w:id="0"/>
    </w:p>
    <w:sectPr w:rsidR="00E047EE" w:rsidRPr="00E04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EE"/>
    <w:rsid w:val="0054584B"/>
    <w:rsid w:val="00E04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918B"/>
  <w15:chartTrackingRefBased/>
  <w15:docId w15:val="{EC843434-23E1-4ECA-AC38-72CDF1BB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047EE"/>
    <w:rPr>
      <w:rFonts w:cs="Times New Roman"/>
      <w:color w:val="0000FF"/>
      <w:u w:val="single"/>
    </w:rPr>
  </w:style>
  <w:style w:type="paragraph" w:styleId="Textodeglobo">
    <w:name w:val="Balloon Text"/>
    <w:basedOn w:val="Normal"/>
    <w:link w:val="TextodegloboCar"/>
    <w:uiPriority w:val="99"/>
    <w:semiHidden/>
    <w:unhideWhenUsed/>
    <w:rsid w:val="00E047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fhad.org/wp-content/uploads/2020/05/2013TheUnion-NARPreliminaryProgram-FINAL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474</Words>
  <Characters>2610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2020-08-29T17:14:00Z</dcterms:created>
  <dcterms:modified xsi:type="dcterms:W3CDTF">2020-09-12T17:41:00Z</dcterms:modified>
</cp:coreProperties>
</file>