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B6ADF" w14:textId="77777777" w:rsidR="004D0B42" w:rsidRPr="004D0B42" w:rsidRDefault="004D0B42" w:rsidP="004D0B42">
      <w:pPr>
        <w:spacing w:after="0"/>
        <w:rPr>
          <w:rFonts w:ascii="Calibri" w:hAnsi="Calibri" w:cs="Calibri"/>
        </w:rPr>
      </w:pPr>
      <w:r w:rsidRPr="004D0B42">
        <w:rPr>
          <w:rFonts w:ascii="Calibri" w:hAnsi="Calibri" w:cs="Calibri"/>
        </w:rPr>
        <w:t xml:space="preserve">Tovar MA, Valencia T, Alvarado J, Rojas C, </w:t>
      </w:r>
      <w:proofErr w:type="spellStart"/>
      <w:r w:rsidRPr="004D0B42">
        <w:rPr>
          <w:rFonts w:ascii="Calibri" w:hAnsi="Calibri" w:cs="Calibri"/>
        </w:rPr>
        <w:t>Caviedes</w:t>
      </w:r>
      <w:proofErr w:type="spellEnd"/>
      <w:r w:rsidRPr="004D0B42">
        <w:rPr>
          <w:rFonts w:ascii="Calibri" w:hAnsi="Calibri" w:cs="Calibri"/>
        </w:rPr>
        <w:t xml:space="preserve"> L, Schumacher S, </w:t>
      </w:r>
      <w:proofErr w:type="spellStart"/>
      <w:r w:rsidRPr="004D0B42">
        <w:rPr>
          <w:rFonts w:ascii="Calibri" w:hAnsi="Calibri" w:cs="Calibri"/>
        </w:rPr>
        <w:t>Gilman</w:t>
      </w:r>
      <w:proofErr w:type="spellEnd"/>
      <w:r w:rsidRPr="004D0B42">
        <w:rPr>
          <w:rFonts w:ascii="Calibri" w:hAnsi="Calibri" w:cs="Calibri"/>
        </w:rPr>
        <w:t xml:space="preserve"> R, Evans C.</w:t>
      </w:r>
      <w:r w:rsidRPr="004D0B42">
        <w:rPr>
          <w:rFonts w:ascii="Calibri" w:hAnsi="Calibri" w:cs="Calibri"/>
        </w:rPr>
        <w:br/>
      </w:r>
      <w:r w:rsidRPr="004D0B42">
        <w:rPr>
          <w:rFonts w:ascii="Calibri" w:hAnsi="Calibri" w:cs="Calibri"/>
          <w:u w:val="single"/>
          <w:bdr w:val="none" w:sz="0" w:space="0" w:color="auto" w:frame="1"/>
        </w:rPr>
        <w:t>La prueba rápida directa de MDR-TB predice mejor el resultado clínico que las pruebas retardadas convencionales</w:t>
      </w:r>
      <w:r w:rsidRPr="004D0B42">
        <w:rPr>
          <w:rFonts w:ascii="Calibri" w:hAnsi="Calibri" w:cs="Calibri"/>
        </w:rPr>
        <w:br/>
        <w:t>Presentación de resumen PC-100618-13, 13 de noviembre de 2010.</w:t>
      </w:r>
    </w:p>
    <w:p w14:paraId="58088657" w14:textId="2C4B4DE7" w:rsidR="004D0B42" w:rsidRPr="00CA6830" w:rsidRDefault="004D0B42" w:rsidP="004D0B42">
      <w:pPr>
        <w:spacing w:after="0"/>
        <w:rPr>
          <w:rFonts w:ascii="Calibri" w:hAnsi="Calibri" w:cs="Calibri"/>
          <w:lang w:val="en-GB"/>
        </w:rPr>
      </w:pPr>
      <w:r w:rsidRPr="004D0B42">
        <w:rPr>
          <w:rFonts w:ascii="Calibri" w:hAnsi="Calibri" w:cs="Calibri"/>
        </w:rPr>
        <w:t>En Actas de la 41a Conferencia Mundial sobre Salud Pulmonar de la Unión Internacional contra la Tuberculosis y las Enfermedades Pulmonares (La Unión): 11 a 15 de noviembre de 2010; Berlín, Alemania.</w:t>
      </w:r>
      <w:r w:rsidRPr="004D0B42">
        <w:rPr>
          <w:rFonts w:ascii="Calibri" w:hAnsi="Calibri" w:cs="Calibri"/>
        </w:rPr>
        <w:br/>
      </w:r>
      <w:r w:rsidRPr="00CA6830">
        <w:rPr>
          <w:rFonts w:ascii="Calibri" w:hAnsi="Calibri" w:cs="Calibri"/>
          <w:i/>
          <w:iCs/>
          <w:lang w:val="en-GB"/>
        </w:rPr>
        <w:t>International Journal of Tuberculosis and Lung Disease 2010</w:t>
      </w:r>
      <w:proofErr w:type="gramStart"/>
      <w:r w:rsidRPr="00CA6830">
        <w:rPr>
          <w:rFonts w:ascii="Calibri" w:hAnsi="Calibri" w:cs="Calibri"/>
          <w:lang w:val="en-GB"/>
        </w:rPr>
        <w:t>;14</w:t>
      </w:r>
      <w:proofErr w:type="gramEnd"/>
      <w:r w:rsidRPr="00CA6830">
        <w:rPr>
          <w:rFonts w:ascii="Calibri" w:hAnsi="Calibri" w:cs="Calibri"/>
          <w:lang w:val="en-GB"/>
        </w:rPr>
        <w:t xml:space="preserve">(11 </w:t>
      </w:r>
      <w:proofErr w:type="spellStart"/>
      <w:r w:rsidRPr="00CA6830">
        <w:rPr>
          <w:rFonts w:ascii="Calibri" w:hAnsi="Calibri" w:cs="Calibri"/>
          <w:lang w:val="en-GB"/>
        </w:rPr>
        <w:t>Suppl</w:t>
      </w:r>
      <w:proofErr w:type="spellEnd"/>
      <w:r w:rsidRPr="00CA6830">
        <w:rPr>
          <w:rFonts w:ascii="Calibri" w:hAnsi="Calibri" w:cs="Calibri"/>
          <w:lang w:val="en-GB"/>
        </w:rPr>
        <w:t xml:space="preserve"> 2):S73-74.</w:t>
      </w:r>
      <w:r w:rsidRPr="00CA6830">
        <w:rPr>
          <w:rFonts w:ascii="Calibri" w:hAnsi="Calibri" w:cs="Calibri"/>
          <w:lang w:val="en-GB"/>
        </w:rPr>
        <w:br/>
        <w:t>Acceso abierto: </w:t>
      </w:r>
      <w:hyperlink r:id="rId4" w:history="1">
        <w:r w:rsidRPr="00CA6830">
          <w:rPr>
            <w:rStyle w:val="Hipervnculo"/>
            <w:rFonts w:ascii="Calibri" w:hAnsi="Calibri" w:cs="Calibri"/>
            <w:bdr w:val="none" w:sz="0" w:space="0" w:color="auto" w:frame="1"/>
            <w:lang w:val="en-GB"/>
          </w:rPr>
          <w:t>https://www.theunion.org/what-we-do/journals/ijtld/body/ABSTRACT_BOOK_2010_Web.pdf</w:t>
        </w:r>
      </w:hyperlink>
    </w:p>
    <w:p w14:paraId="5FF87121" w14:textId="5918F380" w:rsidR="004D0B42" w:rsidRPr="00CA6830" w:rsidRDefault="004D0B42" w:rsidP="004D0B42">
      <w:pPr>
        <w:spacing w:after="0"/>
        <w:rPr>
          <w:rFonts w:ascii="Calibri" w:hAnsi="Calibri" w:cs="Calibri"/>
          <w:lang w:val="en-GB"/>
        </w:rPr>
      </w:pPr>
    </w:p>
    <w:p w14:paraId="63D947F2" w14:textId="77777777" w:rsidR="004D0B42" w:rsidRPr="00CA6830" w:rsidRDefault="004D0B42" w:rsidP="004D0B42">
      <w:pPr>
        <w:spacing w:after="0"/>
        <w:jc w:val="both"/>
        <w:rPr>
          <w:rFonts w:ascii="Calibri" w:hAnsi="Calibri" w:cs="Calibri"/>
          <w:lang w:val="en-GB"/>
        </w:rPr>
      </w:pPr>
    </w:p>
    <w:p w14:paraId="3A9141A9" w14:textId="5B8B38C8" w:rsidR="004D0B42" w:rsidRPr="004D0B42" w:rsidRDefault="004D0B42" w:rsidP="004D0B42">
      <w:pPr>
        <w:spacing w:after="0"/>
        <w:jc w:val="both"/>
        <w:rPr>
          <w:rFonts w:ascii="Calibri" w:hAnsi="Calibri" w:cs="Calibri"/>
        </w:rPr>
      </w:pPr>
      <w:r w:rsidRPr="004D0B42">
        <w:rPr>
          <w:rFonts w:ascii="Arial" w:hAnsi="Arial" w:cs="Arial"/>
          <w:b/>
          <w:bCs/>
        </w:rPr>
        <w:t>Antecedentes:</w:t>
      </w:r>
      <w:r w:rsidRPr="004D0B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4D0B42">
        <w:rPr>
          <w:rFonts w:ascii="Calibri" w:hAnsi="Calibri" w:cs="Calibri"/>
        </w:rPr>
        <w:t>a prueba de susceptibilidad a fármacos (DST) es una herramienta importante en el control de la tuberculosis multirresistente (MDR-TB). La DST convencional se realiza indirectamente después de cultivar la cepa de TB, lo que</w:t>
      </w:r>
      <w:r w:rsidR="00CA6830">
        <w:rPr>
          <w:rFonts w:ascii="Calibri" w:hAnsi="Calibri" w:cs="Calibri"/>
        </w:rPr>
        <w:t xml:space="preserve"> retrasa el resultado de la DST</w:t>
      </w:r>
      <w:r w:rsidRPr="004D0B42">
        <w:rPr>
          <w:rFonts w:ascii="Calibri" w:hAnsi="Calibri" w:cs="Calibri"/>
        </w:rPr>
        <w:t xml:space="preserve"> que cultivar la TB directamente en medios que contengan antibióticos al mismo tiempo que el cultivo sin fármaco. Esto conduce a un resultado de DST mucho más rápido, lo que puede tener un impacto positivo importante en el resultado clínico del paciente. </w:t>
      </w:r>
      <w:r w:rsidR="00CA6830" w:rsidRPr="004D0B42">
        <w:rPr>
          <w:rFonts w:ascii="Calibri" w:hAnsi="Calibri" w:cs="Calibri"/>
        </w:rPr>
        <w:t>Investigó</w:t>
      </w:r>
      <w:r w:rsidRPr="004D0B42">
        <w:rPr>
          <w:rFonts w:ascii="Calibri" w:hAnsi="Calibri" w:cs="Calibri"/>
        </w:rPr>
        <w:t xml:space="preserve"> el resultado clínico de los pacientes en relación con la concordancia de los resultados de ambos métodos.</w:t>
      </w:r>
    </w:p>
    <w:p w14:paraId="7190C237" w14:textId="77777777" w:rsidR="004D0B42" w:rsidRPr="004D0B42" w:rsidRDefault="004D0B42" w:rsidP="004D0B42">
      <w:pPr>
        <w:spacing w:after="0"/>
        <w:jc w:val="both"/>
        <w:rPr>
          <w:rFonts w:ascii="Calibri" w:hAnsi="Calibri" w:cs="Calibri"/>
        </w:rPr>
      </w:pPr>
    </w:p>
    <w:p w14:paraId="59779F4E" w14:textId="4A15E70B" w:rsidR="004D0B42" w:rsidRPr="004D0B42" w:rsidRDefault="004D0B42" w:rsidP="004D0B42">
      <w:pPr>
        <w:spacing w:after="0"/>
        <w:jc w:val="both"/>
        <w:rPr>
          <w:rFonts w:ascii="Calibri" w:hAnsi="Calibri" w:cs="Calibri"/>
        </w:rPr>
      </w:pPr>
      <w:r w:rsidRPr="004D0B42">
        <w:rPr>
          <w:rFonts w:ascii="Arial" w:hAnsi="Arial" w:cs="Arial"/>
          <w:b/>
          <w:bCs/>
        </w:rPr>
        <w:t>Métodos</w:t>
      </w:r>
      <w:r w:rsidRPr="004D0B42">
        <w:rPr>
          <w:rFonts w:ascii="Calibri" w:hAnsi="Calibri" w:cs="Calibri"/>
          <w:b/>
          <w:bCs/>
        </w:rPr>
        <w:t>:</w:t>
      </w:r>
      <w:r w:rsidRPr="004D0B42">
        <w:rPr>
          <w:rFonts w:ascii="Calibri" w:hAnsi="Calibri" w:cs="Calibri"/>
        </w:rPr>
        <w:t xml:space="preserve"> Se realizó PSD directa e indirecta sobre la misma muestra de esputo (n = 2081) y luego se agruparon los datos de acuerdo con la concordancia de los resultados (ambos MDR, ambos no MDR o resultado discrepante). Para cada par de resultados obtuvimos los datos sobre la situación clínica de los pacientes al final del tratamiento antituberculoso y los pacientes curados fueron seguidos para la aparición de un nuevo episodio de tuberculosis. Comparamos el riesgo de tener un mal resultado clínico (fracaso, mu</w:t>
      </w:r>
      <w:r w:rsidR="00CA6830">
        <w:rPr>
          <w:rFonts w:ascii="Calibri" w:hAnsi="Calibri" w:cs="Calibri"/>
        </w:rPr>
        <w:t>erte o tuberculosis recurrente)</w:t>
      </w:r>
      <w:r w:rsidRPr="004D0B42">
        <w:rPr>
          <w:rFonts w:ascii="Calibri" w:hAnsi="Calibri" w:cs="Calibri"/>
        </w:rPr>
        <w:t xml:space="preserve"> para cada grupo.</w:t>
      </w:r>
    </w:p>
    <w:p w14:paraId="5D275FC1" w14:textId="77777777" w:rsidR="004D0B42" w:rsidRPr="004D0B42" w:rsidRDefault="004D0B42" w:rsidP="004D0B42">
      <w:pPr>
        <w:spacing w:after="0"/>
        <w:jc w:val="both"/>
        <w:rPr>
          <w:rFonts w:ascii="Calibri" w:hAnsi="Calibri" w:cs="Calibri"/>
        </w:rPr>
      </w:pPr>
    </w:p>
    <w:p w14:paraId="4773F317" w14:textId="19F4E000" w:rsidR="004D0B42" w:rsidRPr="004D0B42" w:rsidRDefault="004D0B42" w:rsidP="004D0B42">
      <w:pPr>
        <w:spacing w:after="0"/>
        <w:jc w:val="both"/>
        <w:rPr>
          <w:rFonts w:ascii="Calibri" w:hAnsi="Calibri" w:cs="Calibri"/>
        </w:rPr>
      </w:pPr>
      <w:r w:rsidRPr="004D0B42">
        <w:rPr>
          <w:rFonts w:ascii="Arial" w:hAnsi="Arial" w:cs="Arial"/>
          <w:b/>
          <w:bCs/>
        </w:rPr>
        <w:t>Resultados</w:t>
      </w:r>
      <w:r w:rsidRPr="004D0B42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L</w:t>
      </w:r>
      <w:r w:rsidRPr="004D0B42">
        <w:rPr>
          <w:rFonts w:ascii="Calibri" w:hAnsi="Calibri" w:cs="Calibri"/>
        </w:rPr>
        <w:t>a PSD directa e indirecta tuvo resultados consistentes en el 97% de las muestras. Los pacientes con un resultado MDR en la PSD directa y un resultado no MDR en la PSD indirecta tuvieron un cociente de riesgos instantáneos de 7,3 (IC del 95%: 4,2-12,8) de</w:t>
      </w:r>
      <w:r>
        <w:rPr>
          <w:rFonts w:ascii="Calibri" w:hAnsi="Calibri" w:cs="Calibri"/>
        </w:rPr>
        <w:t xml:space="preserve"> </w:t>
      </w:r>
      <w:r w:rsidRPr="004D0B42">
        <w:rPr>
          <w:rFonts w:ascii="Calibri" w:hAnsi="Calibri" w:cs="Calibri"/>
        </w:rPr>
        <w:t>tener un mal resultado clínico en comparación con los pacientes sin evidencia de MDR-TB. Los pacientes que resultaron ser MDR en ambos métodos tuvieron un cociente de riesgo de 2,9 (IC 95% 2,6-3,5) de tener un mal resultado clínico en comparación con los pacientes con sin evidencia de MDR-TB.</w:t>
      </w:r>
      <w:bookmarkStart w:id="0" w:name="_GoBack"/>
      <w:bookmarkEnd w:id="0"/>
    </w:p>
    <w:p w14:paraId="464197C4" w14:textId="77777777" w:rsidR="004D0B42" w:rsidRPr="004D0B42" w:rsidRDefault="004D0B42" w:rsidP="004D0B42">
      <w:pPr>
        <w:spacing w:after="0"/>
        <w:jc w:val="both"/>
        <w:rPr>
          <w:rFonts w:ascii="Calibri" w:hAnsi="Calibri" w:cs="Calibri"/>
        </w:rPr>
      </w:pPr>
    </w:p>
    <w:p w14:paraId="2D4260A6" w14:textId="5D680EF2" w:rsidR="004D0B42" w:rsidRPr="004D0B42" w:rsidRDefault="004D0B42" w:rsidP="004D0B42">
      <w:pPr>
        <w:spacing w:after="0"/>
        <w:jc w:val="both"/>
        <w:rPr>
          <w:rFonts w:ascii="Calibri" w:hAnsi="Calibri" w:cs="Calibri"/>
        </w:rPr>
      </w:pPr>
      <w:r w:rsidRPr="004D0B42">
        <w:rPr>
          <w:rFonts w:ascii="Arial" w:hAnsi="Arial" w:cs="Arial"/>
          <w:b/>
          <w:bCs/>
        </w:rPr>
        <w:t>Conclusión</w:t>
      </w:r>
      <w:r w:rsidRPr="004D0B42">
        <w:rPr>
          <w:rFonts w:ascii="Calibri" w:hAnsi="Calibri" w:cs="Calibri"/>
        </w:rPr>
        <w:t>: Los pacientes diagnosticados con TB-MDR por PSD directa pero diagnosticados de TB-no MDR por PSD indirecto tenían el mayor riesgo de tener un mal resultado clínico. DST.</w:t>
      </w:r>
    </w:p>
    <w:sectPr w:rsidR="004D0B42" w:rsidRPr="004D0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2"/>
    <w:rsid w:val="004D0B42"/>
    <w:rsid w:val="00C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AAD08"/>
  <w15:chartTrackingRefBased/>
  <w15:docId w15:val="{1C4701F1-E51D-422B-9333-3943ED87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D0B42"/>
    <w:rPr>
      <w:rFonts w:ascii="Times New Roman" w:hAnsi="Times New Roman" w:cs="Times New Roman" w:hint="default"/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D0B42"/>
    <w:rPr>
      <w:rFonts w:ascii="Garamond" w:hAnsi="Garamond" w:hint="default"/>
      <w:i w:val="0"/>
      <w:iCs w:val="0"/>
      <w:caps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_BOOK_2010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2020-08-28T16:14:00Z</dcterms:created>
  <dcterms:modified xsi:type="dcterms:W3CDTF">2020-09-12T19:10:00Z</dcterms:modified>
</cp:coreProperties>
</file>