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6B5C" w14:textId="77777777" w:rsidR="007617FE" w:rsidRPr="007617FE" w:rsidRDefault="007617FE" w:rsidP="007617FE">
      <w:pPr>
        <w:pStyle w:val="NormalWeb"/>
        <w:rPr>
          <w:rFonts w:ascii="Calibri" w:hAnsi="Calibri" w:cs="Calibri"/>
          <w:sz w:val="22"/>
          <w:szCs w:val="22"/>
        </w:rPr>
      </w:pPr>
      <w:r w:rsidRPr="007617FE">
        <w:rPr>
          <w:rFonts w:ascii="Calibri" w:hAnsi="Calibri" w:cs="Calibri"/>
          <w:sz w:val="22"/>
          <w:szCs w:val="22"/>
        </w:rPr>
        <w:t xml:space="preserve">Tovar MA, Montoya R, </w:t>
      </w:r>
      <w:proofErr w:type="spellStart"/>
      <w:r w:rsidRPr="007617FE">
        <w:rPr>
          <w:rFonts w:ascii="Calibri" w:hAnsi="Calibri" w:cs="Calibri"/>
          <w:sz w:val="22"/>
          <w:szCs w:val="22"/>
        </w:rPr>
        <w:t>Huff</w:t>
      </w:r>
      <w:proofErr w:type="spellEnd"/>
      <w:r w:rsidRPr="007617FE">
        <w:rPr>
          <w:rFonts w:ascii="Calibri" w:hAnsi="Calibri" w:cs="Calibri"/>
          <w:sz w:val="22"/>
          <w:szCs w:val="22"/>
        </w:rPr>
        <w:t xml:space="preserve"> D, Ramos E, Saunders M, </w:t>
      </w:r>
      <w:proofErr w:type="spellStart"/>
      <w:r w:rsidRPr="007617FE">
        <w:rPr>
          <w:rFonts w:ascii="Calibri" w:hAnsi="Calibri" w:cs="Calibri"/>
          <w:sz w:val="22"/>
          <w:szCs w:val="22"/>
        </w:rPr>
        <w:t>Iberico</w:t>
      </w:r>
      <w:proofErr w:type="spellEnd"/>
      <w:r w:rsidRPr="007617FE">
        <w:rPr>
          <w:rFonts w:ascii="Calibri" w:hAnsi="Calibri" w:cs="Calibri"/>
          <w:sz w:val="22"/>
          <w:szCs w:val="22"/>
        </w:rPr>
        <w:t xml:space="preserve"> M, Evans CA.</w:t>
      </w:r>
      <w:r w:rsidRPr="007617FE">
        <w:rPr>
          <w:rFonts w:ascii="Calibri" w:hAnsi="Calibri" w:cs="Calibri"/>
          <w:sz w:val="22"/>
          <w:szCs w:val="22"/>
        </w:rPr>
        <w:br/>
      </w:r>
      <w:r w:rsidRPr="007617FE">
        <w:rPr>
          <w:rFonts w:ascii="Calibri" w:hAnsi="Calibri" w:cs="Calibri"/>
          <w:sz w:val="22"/>
          <w:szCs w:val="22"/>
          <w:u w:val="single"/>
          <w:bdr w:val="none" w:sz="0" w:space="0" w:color="auto" w:frame="1"/>
        </w:rPr>
        <w:t>Alianzas innovadoras basadas en la comunidad para llegar a los no alcanzados</w:t>
      </w:r>
      <w:r w:rsidRPr="007617FE">
        <w:rPr>
          <w:rFonts w:ascii="Calibri" w:hAnsi="Calibri" w:cs="Calibri"/>
          <w:sz w:val="22"/>
          <w:szCs w:val="22"/>
        </w:rPr>
        <w:br/>
        <w:t>Presentación invitada.</w:t>
      </w:r>
    </w:p>
    <w:p w14:paraId="23A5C7FF" w14:textId="2E63A0F5" w:rsidR="007617FE" w:rsidRPr="007617FE" w:rsidRDefault="007617FE" w:rsidP="007617FE">
      <w:pPr>
        <w:pStyle w:val="NormalWeb"/>
        <w:rPr>
          <w:rStyle w:val="Hipervnculo"/>
          <w:rFonts w:ascii="Calibri" w:hAnsi="Calibri" w:cs="Calibri"/>
          <w:sz w:val="22"/>
          <w:szCs w:val="22"/>
          <w:bdr w:val="none" w:sz="0" w:space="0" w:color="auto" w:frame="1"/>
        </w:rPr>
      </w:pPr>
      <w:r w:rsidRPr="007617FE">
        <w:rPr>
          <w:rFonts w:ascii="Calibri" w:hAnsi="Calibri" w:cs="Calibri"/>
          <w:sz w:val="22"/>
          <w:szCs w:val="22"/>
        </w:rPr>
        <w:t>En Actas de la 46ª Conferencia Mundial sobre Salud Pulmonar de la Unión Internacional contra la Tuberculosis y las Enfermedades Pulmonares (La Unión): 2-6 de diciembre de 2015; Ciudad del Cabo, Sudáfrica.</w:t>
      </w:r>
      <w:r w:rsidRPr="007617FE">
        <w:rPr>
          <w:rFonts w:ascii="Calibri" w:hAnsi="Calibri" w:cs="Calibri"/>
          <w:sz w:val="22"/>
          <w:szCs w:val="22"/>
        </w:rPr>
        <w:br/>
      </w:r>
      <w:r>
        <w:rPr>
          <w:rFonts w:ascii="Calibri" w:hAnsi="Calibri" w:cs="Calibri"/>
          <w:sz w:val="22"/>
          <w:szCs w:val="22"/>
        </w:rPr>
        <w:t>Acceso abierto</w:t>
      </w:r>
      <w:r w:rsidRPr="007617FE">
        <w:rPr>
          <w:rFonts w:ascii="Calibri" w:hAnsi="Calibri" w:cs="Calibri"/>
          <w:sz w:val="22"/>
          <w:szCs w:val="22"/>
        </w:rPr>
        <w:t>: </w:t>
      </w:r>
      <w:hyperlink r:id="rId7" w:history="1">
        <w:r w:rsidRPr="007617FE">
          <w:rPr>
            <w:rStyle w:val="Hipervnculo"/>
            <w:rFonts w:ascii="Calibri" w:hAnsi="Calibri" w:cs="Calibri"/>
            <w:sz w:val="22"/>
            <w:szCs w:val="22"/>
            <w:bdr w:val="none" w:sz="0" w:space="0" w:color="auto" w:frame="1"/>
          </w:rPr>
          <w:t>PDF</w:t>
        </w:r>
      </w:hyperlink>
    </w:p>
    <w:p w14:paraId="65249CEC" w14:textId="6D8FABDF" w:rsidR="00D03B13" w:rsidRPr="00113372" w:rsidRDefault="00D03B13" w:rsidP="00D03B13">
      <w:pPr>
        <w:rPr>
          <w:rFonts w:asciiTheme="minorHAnsi" w:eastAsia="Cambria" w:hAnsiTheme="minorHAnsi" w:cstheme="minorHAnsi"/>
          <w:b/>
          <w:sz w:val="22"/>
          <w:szCs w:val="22"/>
        </w:rPr>
      </w:pPr>
    </w:p>
    <w:p w14:paraId="331899AE" w14:textId="1853D2FC" w:rsidR="007617FE" w:rsidRPr="00113372" w:rsidRDefault="007617FE" w:rsidP="007617FE">
      <w:pPr>
        <w:jc w:val="both"/>
        <w:rPr>
          <w:rFonts w:asciiTheme="minorHAnsi" w:eastAsia="Cambria" w:hAnsiTheme="minorHAnsi" w:cstheme="minorHAnsi"/>
          <w:bCs/>
          <w:sz w:val="22"/>
          <w:szCs w:val="22"/>
        </w:rPr>
      </w:pPr>
      <w:r w:rsidRPr="00113372">
        <w:rPr>
          <w:rFonts w:asciiTheme="minorHAnsi" w:eastAsia="Cambria" w:hAnsiTheme="minorHAnsi" w:cstheme="minorHAnsi"/>
          <w:b/>
          <w:sz w:val="22"/>
          <w:szCs w:val="22"/>
        </w:rPr>
        <w:t>Antecedentes</w:t>
      </w:r>
      <w:r w:rsidR="00113372">
        <w:rPr>
          <w:rFonts w:asciiTheme="minorHAnsi" w:eastAsia="Cambria" w:hAnsiTheme="minorHAnsi" w:cstheme="minorHAnsi"/>
          <w:bCs/>
          <w:sz w:val="22"/>
          <w:szCs w:val="22"/>
        </w:rPr>
        <w:t>: S</w:t>
      </w:r>
      <w:r w:rsidRPr="00113372">
        <w:rPr>
          <w:rFonts w:asciiTheme="minorHAnsi" w:eastAsia="Cambria" w:hAnsiTheme="minorHAnsi" w:cstheme="minorHAnsi"/>
          <w:bCs/>
          <w:sz w:val="22"/>
          <w:szCs w:val="22"/>
        </w:rPr>
        <w:t>e recomienda el apoyo socioeconómico para los hogares afectados por la tuberculosis a pesar de que la evidencia es escasa. Por lo tanto, evaluamos una intervención socioeconómica con el objetivo de fortalecer el control biomédico de la tuberculosis.</w:t>
      </w:r>
    </w:p>
    <w:p w14:paraId="51CC7E61" w14:textId="77777777" w:rsidR="007617FE" w:rsidRPr="00113372" w:rsidRDefault="007617FE" w:rsidP="007617FE">
      <w:pPr>
        <w:jc w:val="both"/>
        <w:rPr>
          <w:rFonts w:asciiTheme="minorHAnsi" w:eastAsia="Cambria" w:hAnsiTheme="minorHAnsi" w:cstheme="minorHAnsi"/>
          <w:bCs/>
          <w:sz w:val="22"/>
          <w:szCs w:val="22"/>
        </w:rPr>
      </w:pPr>
    </w:p>
    <w:p w14:paraId="2D1924BC" w14:textId="77777777" w:rsidR="007617FE" w:rsidRPr="00113372" w:rsidRDefault="007617FE" w:rsidP="007617FE">
      <w:pPr>
        <w:jc w:val="both"/>
        <w:rPr>
          <w:rFonts w:asciiTheme="minorHAnsi" w:eastAsia="Cambria" w:hAnsiTheme="minorHAnsi" w:cstheme="minorHAnsi"/>
          <w:bCs/>
          <w:sz w:val="22"/>
          <w:szCs w:val="22"/>
        </w:rPr>
      </w:pPr>
      <w:r w:rsidRPr="00113372">
        <w:rPr>
          <w:rFonts w:asciiTheme="minorHAnsi" w:eastAsia="Cambria" w:hAnsiTheme="minorHAnsi" w:cstheme="minorHAnsi"/>
          <w:b/>
          <w:sz w:val="22"/>
          <w:szCs w:val="22"/>
        </w:rPr>
        <w:t>Escenario</w:t>
      </w:r>
      <w:r w:rsidRPr="00113372">
        <w:rPr>
          <w:rFonts w:asciiTheme="minorHAnsi" w:eastAsia="Cambria" w:hAnsiTheme="minorHAnsi" w:cstheme="minorHAnsi"/>
          <w:bCs/>
          <w:sz w:val="22"/>
          <w:szCs w:val="22"/>
        </w:rPr>
        <w:t>: Proyecto de Intervenciones Socioeconómicas Innovadoras Contra la Tuberculosis (ISIAT) en 16 barrios marginales, Lima, Perú (2007-13).</w:t>
      </w:r>
    </w:p>
    <w:p w14:paraId="38A2FD70" w14:textId="77777777" w:rsidR="007617FE" w:rsidRPr="00113372" w:rsidRDefault="007617FE" w:rsidP="007617FE">
      <w:pPr>
        <w:jc w:val="both"/>
        <w:rPr>
          <w:rFonts w:asciiTheme="minorHAnsi" w:eastAsia="Cambria" w:hAnsiTheme="minorHAnsi" w:cstheme="minorHAnsi"/>
          <w:bCs/>
          <w:sz w:val="22"/>
          <w:szCs w:val="22"/>
        </w:rPr>
      </w:pPr>
    </w:p>
    <w:p w14:paraId="5FE193EB" w14:textId="77777777" w:rsidR="007617FE" w:rsidRPr="00113372" w:rsidRDefault="007617FE" w:rsidP="007617FE">
      <w:pPr>
        <w:jc w:val="both"/>
        <w:rPr>
          <w:rFonts w:asciiTheme="minorHAnsi" w:eastAsia="Cambria" w:hAnsiTheme="minorHAnsi" w:cstheme="minorHAnsi"/>
          <w:bCs/>
          <w:sz w:val="22"/>
          <w:szCs w:val="22"/>
        </w:rPr>
      </w:pPr>
      <w:r w:rsidRPr="00113372">
        <w:rPr>
          <w:rFonts w:asciiTheme="minorHAnsi" w:eastAsia="Cambria" w:hAnsiTheme="minorHAnsi" w:cstheme="minorHAnsi"/>
          <w:b/>
          <w:sz w:val="22"/>
          <w:szCs w:val="22"/>
        </w:rPr>
        <w:t>Proceso:</w:t>
      </w:r>
      <w:r w:rsidRPr="00113372">
        <w:rPr>
          <w:rFonts w:asciiTheme="minorHAnsi" w:eastAsia="Cambria" w:hAnsiTheme="minorHAnsi" w:cstheme="minorHAnsi"/>
          <w:bCs/>
          <w:sz w:val="22"/>
          <w:szCs w:val="22"/>
        </w:rPr>
        <w:t xml:space="preserve"> Los estudios de línea de base identificaron desafíos socioeconómicos para el control de la tuberculosis: pobreza asociada con la tuberculosis, retraso e ignorancia; TB y pobreza asociada con depresión y marginación; resultados adversos de la tuberculosis asociados con la pobreza, la ignorancia, la depresión y la marginación.</w:t>
      </w:r>
    </w:p>
    <w:p w14:paraId="6BF47D3A" w14:textId="77777777" w:rsidR="007617FE" w:rsidRPr="00113372" w:rsidRDefault="007617FE" w:rsidP="007617FE">
      <w:pPr>
        <w:jc w:val="both"/>
        <w:rPr>
          <w:rFonts w:asciiTheme="minorHAnsi" w:eastAsia="Cambria" w:hAnsiTheme="minorHAnsi" w:cstheme="minorHAnsi"/>
          <w:bCs/>
          <w:sz w:val="22"/>
          <w:szCs w:val="22"/>
        </w:rPr>
      </w:pPr>
      <w:r w:rsidRPr="00113372">
        <w:rPr>
          <w:rFonts w:asciiTheme="minorHAnsi" w:eastAsia="Cambria" w:hAnsiTheme="minorHAnsi" w:cstheme="minorHAnsi"/>
          <w:bCs/>
          <w:sz w:val="22"/>
          <w:szCs w:val="22"/>
        </w:rPr>
        <w:t xml:space="preserve">Se desarrolló </w:t>
      </w:r>
      <w:r w:rsidRPr="00113372">
        <w:rPr>
          <w:rFonts w:asciiTheme="minorHAnsi" w:eastAsia="Cambria" w:hAnsiTheme="minorHAnsi" w:cstheme="minorHAnsi"/>
          <w:bCs/>
          <w:sz w:val="22"/>
          <w:szCs w:val="22"/>
          <w:u w:val="single"/>
        </w:rPr>
        <w:t>un marco conceptual</w:t>
      </w:r>
      <w:r w:rsidRPr="00113372">
        <w:rPr>
          <w:rFonts w:asciiTheme="minorHAnsi" w:eastAsia="Cambria" w:hAnsiTheme="minorHAnsi" w:cstheme="minorHAnsi"/>
          <w:bCs/>
          <w:sz w:val="22"/>
          <w:szCs w:val="22"/>
        </w:rPr>
        <w:t xml:space="preserve"> (figura) en torno a los pasos clave para el control de la tuberculosis (verde) y los objetivos biomédicos (azul). Los objetivos económicos (rojo) incluyen: (1) mitigar los costos de la tuberculosis; (2) facilitar el acceso a la atención de la tuberculosis; (3) reducir la susceptibilidad a la tuberculosis; y (4) mejorar las condiciones de vida para reducir la exposición a la tuberculosis. El apoyo social (amarillo) puede informar y potenciar el acceso equitativo a la atención de la tuberculosis.</w:t>
      </w:r>
    </w:p>
    <w:p w14:paraId="1D7518A0" w14:textId="39CA383C" w:rsidR="007617FE" w:rsidRPr="00113372" w:rsidRDefault="007617FE" w:rsidP="007617FE">
      <w:pPr>
        <w:jc w:val="both"/>
        <w:rPr>
          <w:rFonts w:asciiTheme="minorHAnsi" w:eastAsia="Cambria" w:hAnsiTheme="minorHAnsi" w:cstheme="minorHAnsi"/>
          <w:bCs/>
          <w:sz w:val="22"/>
          <w:szCs w:val="22"/>
        </w:rPr>
      </w:pPr>
      <w:r w:rsidRPr="00113372">
        <w:rPr>
          <w:rFonts w:asciiTheme="minorHAnsi" w:eastAsia="Cambria" w:hAnsiTheme="minorHAnsi" w:cstheme="minorHAnsi"/>
          <w:bCs/>
          <w:sz w:val="22"/>
          <w:szCs w:val="22"/>
        </w:rPr>
        <w:t xml:space="preserve">Se ofreció </w:t>
      </w:r>
      <w:r w:rsidR="00113372" w:rsidRPr="00113372">
        <w:rPr>
          <w:rFonts w:asciiTheme="minorHAnsi" w:eastAsia="Cambria" w:hAnsiTheme="minorHAnsi" w:cstheme="minorHAnsi"/>
          <w:bCs/>
          <w:sz w:val="22"/>
          <w:szCs w:val="22"/>
          <w:u w:val="single"/>
        </w:rPr>
        <w:t>apoyo socioeconómico</w:t>
      </w:r>
      <w:r w:rsidR="00113372" w:rsidRPr="00113372">
        <w:rPr>
          <w:rFonts w:asciiTheme="minorHAnsi" w:eastAsia="Cambria" w:hAnsiTheme="minorHAnsi" w:cstheme="minorHAnsi"/>
          <w:bCs/>
          <w:sz w:val="22"/>
          <w:szCs w:val="22"/>
        </w:rPr>
        <w:t xml:space="preserve"> a los hogares de pacientes con tuberculosis recién diagnosticado</w:t>
      </w:r>
      <w:r w:rsidRPr="00113372">
        <w:rPr>
          <w:rFonts w:asciiTheme="minorHAnsi" w:eastAsia="Cambria" w:hAnsiTheme="minorHAnsi" w:cstheme="minorHAnsi"/>
          <w:bCs/>
          <w:sz w:val="22"/>
          <w:szCs w:val="22"/>
        </w:rPr>
        <w:t>. El apoyo económico se proporcionó mediante transf</w:t>
      </w:r>
      <w:bookmarkStart w:id="0" w:name="_GoBack"/>
      <w:bookmarkEnd w:id="0"/>
      <w:r w:rsidRPr="00113372">
        <w:rPr>
          <w:rFonts w:asciiTheme="minorHAnsi" w:eastAsia="Cambria" w:hAnsiTheme="minorHAnsi" w:cstheme="minorHAnsi"/>
          <w:bCs/>
          <w:sz w:val="22"/>
          <w:szCs w:val="22"/>
        </w:rPr>
        <w:t>erencias de alimentos y dinero en efectivo con una condicionalidad suave para continuar con la atención de la tuberculosis. Los microcréditos y la formación tuvieron menos éxito pero incentivaron la participación. El apoyo social fue proporcionado por visitas domiciliarias de los trabajadores de la salud, talleres y un psicólogo.</w:t>
      </w:r>
    </w:p>
    <w:p w14:paraId="303E8406" w14:textId="77777777" w:rsidR="007617FE" w:rsidRPr="00113372" w:rsidRDefault="007617FE" w:rsidP="007617FE">
      <w:pPr>
        <w:jc w:val="both"/>
        <w:rPr>
          <w:rFonts w:asciiTheme="minorHAnsi" w:eastAsia="Cambria" w:hAnsiTheme="minorHAnsi" w:cstheme="minorHAnsi"/>
          <w:bCs/>
          <w:sz w:val="22"/>
          <w:szCs w:val="22"/>
        </w:rPr>
      </w:pPr>
      <w:r w:rsidRPr="00113372">
        <w:rPr>
          <w:rFonts w:asciiTheme="minorHAnsi" w:eastAsia="Cambria" w:hAnsiTheme="minorHAnsi" w:cstheme="minorHAnsi"/>
          <w:bCs/>
          <w:sz w:val="22"/>
          <w:szCs w:val="22"/>
          <w:u w:val="single"/>
        </w:rPr>
        <w:t>Impactos</w:t>
      </w:r>
      <w:r w:rsidRPr="00113372">
        <w:rPr>
          <w:rFonts w:asciiTheme="minorHAnsi" w:eastAsia="Cambria" w:hAnsiTheme="minorHAnsi" w:cstheme="minorHAnsi"/>
          <w:bCs/>
          <w:sz w:val="22"/>
          <w:szCs w:val="22"/>
        </w:rPr>
        <w:t>: (1) el apoyo económico mitigó los costos de la tuberculosis; (2) el apoyo socioeconómico aumentó la adherencia al tratamiento de la tuberculosis y aumentó de manera equitativa la terapia preventiva; (3) se están monitoreando los resultados económicos y nutricionales, pero los préstamos de microcrédito no mejoraron los indicadores de pobreza; y (4) el desarrollo económico y el apoyo redujeron la ventilación de los hogares y aumentaron el hacinamiento, lo que podría aumentar la transmisión de la tuberculosis. El apoyo social formó una sociedad civil de apoyo mutuo de hogares afectados por la tuberculosis que abogaba por una mejor atención.</w:t>
      </w:r>
    </w:p>
    <w:p w14:paraId="695BA21C" w14:textId="77777777" w:rsidR="007617FE" w:rsidRPr="00113372" w:rsidRDefault="007617FE" w:rsidP="007617FE">
      <w:pPr>
        <w:jc w:val="both"/>
        <w:rPr>
          <w:rFonts w:asciiTheme="minorHAnsi" w:eastAsia="Cambria" w:hAnsiTheme="minorHAnsi" w:cstheme="minorHAnsi"/>
          <w:bCs/>
          <w:sz w:val="22"/>
          <w:szCs w:val="22"/>
        </w:rPr>
      </w:pPr>
    </w:p>
    <w:p w14:paraId="3BC16B58" w14:textId="7B66F465" w:rsidR="007617FE" w:rsidRPr="00113372" w:rsidRDefault="007617FE" w:rsidP="007617FE">
      <w:pPr>
        <w:jc w:val="both"/>
        <w:rPr>
          <w:rFonts w:asciiTheme="minorHAnsi" w:eastAsia="Cambria" w:hAnsiTheme="minorHAnsi" w:cstheme="minorHAnsi"/>
          <w:bCs/>
          <w:sz w:val="22"/>
          <w:szCs w:val="22"/>
        </w:rPr>
      </w:pPr>
      <w:r w:rsidRPr="00113372">
        <w:rPr>
          <w:rFonts w:asciiTheme="minorHAnsi" w:eastAsia="Cambria" w:hAnsiTheme="minorHAnsi" w:cstheme="minorHAnsi"/>
          <w:b/>
          <w:sz w:val="22"/>
          <w:szCs w:val="22"/>
        </w:rPr>
        <w:t>Conclusión</w:t>
      </w:r>
      <w:r w:rsidRPr="00113372">
        <w:rPr>
          <w:rFonts w:asciiTheme="minorHAnsi" w:eastAsia="Cambria" w:hAnsiTheme="minorHAnsi" w:cstheme="minorHAnsi"/>
          <w:bCs/>
          <w:sz w:val="22"/>
          <w:szCs w:val="22"/>
        </w:rPr>
        <w:t>: Una intervención socioeconómica integrada fortaleció el acceso equitativo al tratamiento y la prevención biomédica de la tuberculosis.</w:t>
      </w:r>
    </w:p>
    <w:p w14:paraId="33E59D56" w14:textId="77777777" w:rsidR="00D03B13" w:rsidRDefault="00D03B13" w:rsidP="00D03B13">
      <w:pPr>
        <w:rPr>
          <w:rFonts w:ascii="Verdana" w:hAnsi="Verdana"/>
          <w:sz w:val="22"/>
          <w:szCs w:val="22"/>
        </w:rPr>
      </w:pPr>
    </w:p>
    <w:tbl>
      <w:tblPr>
        <w:tblW w:w="0" w:type="auto"/>
        <w:tblInd w:w="108" w:type="dxa"/>
        <w:tblCellMar>
          <w:left w:w="0" w:type="dxa"/>
          <w:right w:w="0" w:type="dxa"/>
        </w:tblCellMar>
        <w:tblLook w:val="04A0" w:firstRow="1" w:lastRow="0" w:firstColumn="1" w:lastColumn="0" w:noHBand="0" w:noVBand="1"/>
      </w:tblPr>
      <w:tblGrid>
        <w:gridCol w:w="2682"/>
        <w:gridCol w:w="6216"/>
      </w:tblGrid>
      <w:tr w:rsidR="00D03B13" w:rsidRPr="00BB5B7D" w14:paraId="7FE5D7D5" w14:textId="77777777" w:rsidTr="00C53112">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1CBEE" w14:textId="77777777" w:rsidR="00D03B13" w:rsidRPr="00BB5B7D" w:rsidRDefault="00D03B13" w:rsidP="00C53112">
            <w:pPr>
              <w:spacing w:before="100" w:beforeAutospacing="1" w:after="100" w:afterAutospacing="1"/>
              <w:rPr>
                <w:rFonts w:asciiTheme="minorHAnsi" w:hAnsiTheme="minorHAnsi"/>
                <w:sz w:val="22"/>
                <w:szCs w:val="22"/>
              </w:rPr>
            </w:pPr>
            <w:r w:rsidRPr="00BB5B7D">
              <w:rPr>
                <w:rFonts w:asciiTheme="minorHAnsi" w:hAnsiTheme="minorHAnsi"/>
                <w:b/>
                <w:bCs/>
                <w:color w:val="0000FF"/>
                <w:sz w:val="22"/>
                <w:szCs w:val="22"/>
                <w:lang w:val="en-GB"/>
              </w:rPr>
              <w:t>Reference of your abstract</w:t>
            </w:r>
          </w:p>
        </w:tc>
        <w:tc>
          <w:tcPr>
            <w:tcW w:w="6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91B37" w14:textId="77777777" w:rsidR="00D03B13" w:rsidRPr="00BB5B7D" w:rsidRDefault="00D03B13" w:rsidP="00C53112">
            <w:pPr>
              <w:spacing w:before="100" w:beforeAutospacing="1" w:after="100" w:afterAutospacing="1"/>
              <w:rPr>
                <w:rFonts w:asciiTheme="minorHAnsi" w:hAnsiTheme="minorHAnsi"/>
                <w:sz w:val="22"/>
                <w:szCs w:val="22"/>
              </w:rPr>
            </w:pPr>
          </w:p>
        </w:tc>
      </w:tr>
      <w:tr w:rsidR="00D03B13" w:rsidRPr="00113372" w14:paraId="757BE4E3" w14:textId="77777777"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5F1D4" w14:textId="77777777" w:rsidR="00D03B13" w:rsidRPr="00BB5B7D" w:rsidRDefault="00D03B13" w:rsidP="00C53112">
            <w:pPr>
              <w:spacing w:before="100" w:beforeAutospacing="1" w:after="100" w:afterAutospacing="1"/>
              <w:rPr>
                <w:rFonts w:asciiTheme="minorHAnsi" w:hAnsiTheme="minorHAnsi"/>
                <w:sz w:val="22"/>
                <w:szCs w:val="22"/>
              </w:rPr>
            </w:pPr>
            <w:r w:rsidRPr="00BB5B7D">
              <w:rPr>
                <w:rFonts w:asciiTheme="minorHAnsi" w:hAnsiTheme="minorHAnsi"/>
                <w:b/>
                <w:bCs/>
                <w:color w:val="0000FF"/>
                <w:sz w:val="22"/>
                <w:szCs w:val="22"/>
                <w:lang w:val="en-GB"/>
              </w:rPr>
              <w:t>Title of abstract</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14:paraId="266B17C7" w14:textId="77777777" w:rsidR="00D03B13" w:rsidRPr="00113372" w:rsidRDefault="00D03B13" w:rsidP="00C53112">
            <w:pPr>
              <w:spacing w:before="100" w:beforeAutospacing="1" w:after="100" w:afterAutospacing="1"/>
              <w:rPr>
                <w:rFonts w:asciiTheme="minorHAnsi" w:hAnsiTheme="minorHAnsi"/>
                <w:sz w:val="22"/>
                <w:szCs w:val="22"/>
                <w:lang w:val="en-GB"/>
              </w:rPr>
            </w:pPr>
            <w:r w:rsidRPr="00113372">
              <w:rPr>
                <w:rFonts w:asciiTheme="minorHAnsi" w:hAnsiTheme="minorHAnsi"/>
                <w:color w:val="0000FF"/>
                <w:sz w:val="22"/>
                <w:szCs w:val="22"/>
                <w:lang w:val="en-GB"/>
              </w:rPr>
              <w:t>Innovative community-based partnerships to reach the unreached</w:t>
            </w:r>
          </w:p>
        </w:tc>
      </w:tr>
      <w:tr w:rsidR="00D03B13" w:rsidRPr="00BB5B7D" w14:paraId="1CF9A279" w14:textId="77777777"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8D020" w14:textId="77777777" w:rsidR="00D03B13" w:rsidRPr="00BB5B7D" w:rsidRDefault="00D03B13" w:rsidP="00C53112">
            <w:pPr>
              <w:spacing w:before="100" w:beforeAutospacing="1" w:after="100" w:afterAutospacing="1"/>
              <w:rPr>
                <w:rFonts w:asciiTheme="minorHAnsi" w:hAnsiTheme="minorHAnsi"/>
                <w:sz w:val="22"/>
                <w:szCs w:val="22"/>
              </w:rPr>
            </w:pPr>
            <w:r w:rsidRPr="00BB5B7D">
              <w:rPr>
                <w:rFonts w:asciiTheme="minorHAnsi" w:hAnsiTheme="minorHAnsi"/>
                <w:b/>
                <w:bCs/>
                <w:color w:val="0000FF"/>
                <w:sz w:val="22"/>
                <w:szCs w:val="22"/>
                <w:lang w:val="en-GB"/>
              </w:rPr>
              <w:t>Type of session</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14:paraId="4625389C" w14:textId="77777777" w:rsidR="00D03B13" w:rsidRPr="00BB5B7D" w:rsidRDefault="00D03B13" w:rsidP="00C53112">
            <w:pPr>
              <w:spacing w:before="100" w:beforeAutospacing="1" w:after="100" w:afterAutospacing="1"/>
              <w:rPr>
                <w:rFonts w:asciiTheme="minorHAnsi" w:hAnsiTheme="minorHAnsi"/>
                <w:sz w:val="22"/>
                <w:szCs w:val="22"/>
              </w:rPr>
            </w:pPr>
            <w:r>
              <w:rPr>
                <w:rFonts w:asciiTheme="minorHAnsi" w:hAnsiTheme="minorHAnsi"/>
                <w:color w:val="0000FF"/>
                <w:sz w:val="22"/>
                <w:szCs w:val="22"/>
                <w:lang w:val="en-GB"/>
              </w:rPr>
              <w:t>Symposium</w:t>
            </w:r>
            <w:r w:rsidRPr="00BB5B7D">
              <w:rPr>
                <w:rFonts w:asciiTheme="minorHAnsi" w:hAnsiTheme="minorHAnsi"/>
                <w:color w:val="0000FF"/>
                <w:sz w:val="22"/>
                <w:szCs w:val="22"/>
                <w:lang w:val="en-GB"/>
              </w:rPr>
              <w:t xml:space="preserve"> Session</w:t>
            </w:r>
          </w:p>
        </w:tc>
      </w:tr>
      <w:tr w:rsidR="00D03B13" w:rsidRPr="00113372" w14:paraId="05FB2B5A" w14:textId="77777777"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AC1B7" w14:textId="77777777" w:rsidR="00D03B13" w:rsidRPr="00BB5B7D" w:rsidRDefault="00D03B13" w:rsidP="00C53112">
            <w:pPr>
              <w:spacing w:before="100" w:beforeAutospacing="1" w:after="100" w:afterAutospacing="1"/>
              <w:rPr>
                <w:rFonts w:asciiTheme="minorHAnsi" w:hAnsiTheme="minorHAnsi"/>
                <w:sz w:val="22"/>
                <w:szCs w:val="22"/>
              </w:rPr>
            </w:pPr>
            <w:r w:rsidRPr="00BB5B7D">
              <w:rPr>
                <w:rFonts w:asciiTheme="minorHAnsi" w:hAnsiTheme="minorHAnsi"/>
                <w:b/>
                <w:bCs/>
                <w:color w:val="0000FF"/>
                <w:sz w:val="22"/>
                <w:szCs w:val="22"/>
                <w:lang w:val="en-GB"/>
              </w:rPr>
              <w:t>Title of session</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14:paraId="76466770" w14:textId="77777777" w:rsidR="00D03B13" w:rsidRPr="00113372" w:rsidRDefault="00D03B13" w:rsidP="00C53112">
            <w:pPr>
              <w:spacing w:before="100" w:beforeAutospacing="1" w:after="100" w:afterAutospacing="1"/>
              <w:rPr>
                <w:rFonts w:asciiTheme="minorHAnsi" w:hAnsiTheme="minorHAnsi"/>
                <w:sz w:val="22"/>
                <w:szCs w:val="22"/>
                <w:lang w:val="en-GB"/>
              </w:rPr>
            </w:pPr>
            <w:r w:rsidRPr="00113372">
              <w:rPr>
                <w:rFonts w:asciiTheme="minorHAnsi" w:hAnsiTheme="minorHAnsi"/>
                <w:color w:val="0000FF"/>
                <w:sz w:val="22"/>
                <w:szCs w:val="22"/>
                <w:lang w:val="en-GB"/>
              </w:rPr>
              <w:t>A community-based approach to reaching the missing "3" million</w:t>
            </w:r>
          </w:p>
        </w:tc>
      </w:tr>
      <w:tr w:rsidR="00D03B13" w:rsidRPr="00BB5B7D" w14:paraId="1FD611D5" w14:textId="77777777"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AD252" w14:textId="77777777" w:rsidR="00D03B13" w:rsidRPr="00BB5B7D" w:rsidRDefault="00D03B13" w:rsidP="00C53112">
            <w:pPr>
              <w:spacing w:before="100" w:beforeAutospacing="1" w:after="100" w:afterAutospacing="1"/>
              <w:jc w:val="both"/>
              <w:rPr>
                <w:rFonts w:asciiTheme="minorHAnsi" w:hAnsiTheme="minorHAnsi"/>
                <w:sz w:val="22"/>
                <w:szCs w:val="22"/>
              </w:rPr>
            </w:pPr>
            <w:r w:rsidRPr="00BB5B7D">
              <w:rPr>
                <w:rFonts w:asciiTheme="minorHAnsi" w:hAnsiTheme="minorHAnsi"/>
                <w:b/>
                <w:bCs/>
                <w:color w:val="0000FF"/>
                <w:sz w:val="22"/>
                <w:szCs w:val="22"/>
                <w:lang w:val="en-GB"/>
              </w:rPr>
              <w:t>Date and time</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14:paraId="0D23573A" w14:textId="77777777" w:rsidR="00D03B13" w:rsidRPr="00BB5B7D" w:rsidRDefault="00D03B13" w:rsidP="00C53112">
            <w:pPr>
              <w:spacing w:before="100" w:beforeAutospacing="1" w:after="100" w:afterAutospacing="1"/>
              <w:jc w:val="both"/>
              <w:rPr>
                <w:rFonts w:asciiTheme="minorHAnsi" w:hAnsiTheme="minorHAnsi"/>
                <w:sz w:val="22"/>
                <w:szCs w:val="22"/>
              </w:rPr>
            </w:pPr>
            <w:r w:rsidRPr="00BB5B7D">
              <w:rPr>
                <w:rFonts w:asciiTheme="minorHAnsi" w:hAnsiTheme="minorHAnsi"/>
                <w:color w:val="0000FF"/>
                <w:sz w:val="22"/>
                <w:szCs w:val="22"/>
              </w:rPr>
              <w:t xml:space="preserve">Friday, 4 </w:t>
            </w:r>
            <w:proofErr w:type="spellStart"/>
            <w:r w:rsidRPr="00BB5B7D">
              <w:rPr>
                <w:rFonts w:asciiTheme="minorHAnsi" w:hAnsiTheme="minorHAnsi"/>
                <w:color w:val="0000FF"/>
                <w:sz w:val="22"/>
                <w:szCs w:val="22"/>
              </w:rPr>
              <w:t>December</w:t>
            </w:r>
            <w:proofErr w:type="spellEnd"/>
            <w:r w:rsidRPr="00BB5B7D">
              <w:rPr>
                <w:rFonts w:asciiTheme="minorHAnsi" w:hAnsiTheme="minorHAnsi"/>
                <w:color w:val="0000FF"/>
                <w:sz w:val="22"/>
                <w:szCs w:val="22"/>
              </w:rPr>
              <w:t xml:space="preserve"> 2015 </w:t>
            </w:r>
            <w:proofErr w:type="spellStart"/>
            <w:r w:rsidRPr="00BB5B7D">
              <w:rPr>
                <w:rFonts w:asciiTheme="minorHAnsi" w:hAnsiTheme="minorHAnsi"/>
                <w:color w:val="0000FF"/>
                <w:sz w:val="22"/>
                <w:szCs w:val="22"/>
              </w:rPr>
              <w:t>from</w:t>
            </w:r>
            <w:proofErr w:type="spellEnd"/>
            <w:r w:rsidRPr="00BB5B7D">
              <w:rPr>
                <w:rFonts w:asciiTheme="minorHAnsi" w:hAnsiTheme="minorHAnsi"/>
                <w:color w:val="0000FF"/>
                <w:sz w:val="22"/>
                <w:szCs w:val="22"/>
              </w:rPr>
              <w:t xml:space="preserve"> 1</w:t>
            </w:r>
            <w:r>
              <w:rPr>
                <w:rFonts w:asciiTheme="minorHAnsi" w:hAnsiTheme="minorHAnsi"/>
                <w:color w:val="0000FF"/>
                <w:sz w:val="22"/>
                <w:szCs w:val="22"/>
              </w:rPr>
              <w:t>5</w:t>
            </w:r>
            <w:r w:rsidRPr="00BB5B7D">
              <w:rPr>
                <w:rFonts w:asciiTheme="minorHAnsi" w:hAnsiTheme="minorHAnsi"/>
                <w:color w:val="0000FF"/>
                <w:sz w:val="22"/>
                <w:szCs w:val="22"/>
              </w:rPr>
              <w:t>:30 to 1</w:t>
            </w:r>
            <w:r>
              <w:rPr>
                <w:rFonts w:asciiTheme="minorHAnsi" w:hAnsiTheme="minorHAnsi"/>
                <w:color w:val="0000FF"/>
                <w:sz w:val="22"/>
                <w:szCs w:val="22"/>
              </w:rPr>
              <w:t>7</w:t>
            </w:r>
            <w:r w:rsidRPr="00BB5B7D">
              <w:rPr>
                <w:rFonts w:asciiTheme="minorHAnsi" w:hAnsiTheme="minorHAnsi"/>
                <w:color w:val="0000FF"/>
                <w:sz w:val="22"/>
                <w:szCs w:val="22"/>
              </w:rPr>
              <w:t>:00</w:t>
            </w:r>
          </w:p>
        </w:tc>
      </w:tr>
      <w:tr w:rsidR="00D03B13" w:rsidRPr="00113372" w14:paraId="7A210AE2" w14:textId="77777777" w:rsidTr="00C5311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6CFF9" w14:textId="77777777" w:rsidR="00D03B13" w:rsidRPr="00BB5B7D" w:rsidRDefault="00D03B13" w:rsidP="00C53112">
            <w:pPr>
              <w:spacing w:before="100" w:beforeAutospacing="1" w:after="100" w:afterAutospacing="1"/>
              <w:jc w:val="both"/>
              <w:rPr>
                <w:rFonts w:asciiTheme="minorHAnsi" w:hAnsiTheme="minorHAnsi"/>
                <w:sz w:val="22"/>
                <w:szCs w:val="22"/>
              </w:rPr>
            </w:pPr>
            <w:r w:rsidRPr="00BB5B7D">
              <w:rPr>
                <w:rFonts w:asciiTheme="minorHAnsi" w:hAnsiTheme="minorHAnsi"/>
                <w:b/>
                <w:bCs/>
                <w:color w:val="0000FF"/>
                <w:sz w:val="22"/>
                <w:szCs w:val="22"/>
                <w:lang w:val="en-GB"/>
              </w:rPr>
              <w:t xml:space="preserve">Room </w:t>
            </w:r>
          </w:p>
        </w:tc>
        <w:tc>
          <w:tcPr>
            <w:tcW w:w="6252" w:type="dxa"/>
            <w:tcBorders>
              <w:top w:val="nil"/>
              <w:left w:val="nil"/>
              <w:bottom w:val="single" w:sz="8" w:space="0" w:color="auto"/>
              <w:right w:val="single" w:sz="8" w:space="0" w:color="auto"/>
            </w:tcBorders>
            <w:tcMar>
              <w:top w:w="0" w:type="dxa"/>
              <w:left w:w="108" w:type="dxa"/>
              <w:bottom w:w="0" w:type="dxa"/>
              <w:right w:w="108" w:type="dxa"/>
            </w:tcMar>
            <w:hideMark/>
          </w:tcPr>
          <w:p w14:paraId="53157B1E" w14:textId="77777777" w:rsidR="00D03B13" w:rsidRPr="00113372" w:rsidRDefault="00D03B13" w:rsidP="00C53112">
            <w:pPr>
              <w:spacing w:before="100" w:beforeAutospacing="1" w:after="100" w:afterAutospacing="1"/>
              <w:jc w:val="both"/>
              <w:rPr>
                <w:rFonts w:asciiTheme="minorHAnsi" w:hAnsiTheme="minorHAnsi"/>
                <w:sz w:val="22"/>
                <w:szCs w:val="22"/>
                <w:lang w:val="en-GB"/>
              </w:rPr>
            </w:pPr>
            <w:r w:rsidRPr="00113372">
              <w:rPr>
                <w:rFonts w:asciiTheme="minorHAnsi" w:hAnsiTheme="minorHAnsi"/>
                <w:color w:val="0000FF"/>
                <w:sz w:val="22"/>
                <w:szCs w:val="22"/>
                <w:lang w:val="en-GB"/>
              </w:rPr>
              <w:t>Announced in the Final Programme of the conference</w:t>
            </w:r>
          </w:p>
        </w:tc>
      </w:tr>
    </w:tbl>
    <w:p w14:paraId="60AB69E6" w14:textId="77777777" w:rsidR="00D03B13" w:rsidRPr="00113372" w:rsidRDefault="00D03B13" w:rsidP="00D03B13">
      <w:pPr>
        <w:rPr>
          <w:rFonts w:ascii="Verdana" w:hAnsi="Verdana"/>
          <w:sz w:val="22"/>
          <w:szCs w:val="22"/>
          <w:lang w:val="en-GB"/>
        </w:rPr>
      </w:pPr>
      <w:r w:rsidRPr="00840383">
        <w:rPr>
          <w:rFonts w:ascii="Verdana" w:hAnsi="Verdana"/>
          <w:noProof/>
          <w:sz w:val="22"/>
          <w:szCs w:val="22"/>
          <w:lang w:eastAsia="es-PE"/>
        </w:rPr>
        <w:lastRenderedPageBreak/>
        <w:drawing>
          <wp:anchor distT="0" distB="0" distL="114300" distR="114300" simplePos="0" relativeHeight="251659264" behindDoc="0" locked="0" layoutInCell="1" allowOverlap="1" wp14:anchorId="4E2A32CF" wp14:editId="43EC007F">
            <wp:simplePos x="0" y="0"/>
            <wp:positionH relativeFrom="margin">
              <wp:posOffset>-920750</wp:posOffset>
            </wp:positionH>
            <wp:positionV relativeFrom="margin">
              <wp:posOffset>444500</wp:posOffset>
            </wp:positionV>
            <wp:extent cx="7512050" cy="5486400"/>
            <wp:effectExtent l="1905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2050" cy="5486400"/>
                    </a:xfrm>
                    <a:prstGeom prst="rect">
                      <a:avLst/>
                    </a:prstGeom>
                    <a:noFill/>
                    <a:ln>
                      <a:noFill/>
                    </a:ln>
                  </pic:spPr>
                </pic:pic>
              </a:graphicData>
            </a:graphic>
          </wp:anchor>
        </w:drawing>
      </w:r>
    </w:p>
    <w:p w14:paraId="2B0A88AE" w14:textId="77777777" w:rsidR="002B3F30" w:rsidRPr="00113372" w:rsidRDefault="002B3F30">
      <w:pPr>
        <w:rPr>
          <w:lang w:val="en-GB"/>
        </w:rPr>
      </w:pPr>
    </w:p>
    <w:sectPr w:rsidR="002B3F30" w:rsidRPr="0011337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997DA" w14:textId="77777777" w:rsidR="0077535B" w:rsidRDefault="0077535B" w:rsidP="00D03B13">
      <w:r>
        <w:separator/>
      </w:r>
    </w:p>
  </w:endnote>
  <w:endnote w:type="continuationSeparator" w:id="0">
    <w:p w14:paraId="50A32900" w14:textId="77777777" w:rsidR="0077535B" w:rsidRDefault="0077535B" w:rsidP="00D0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3288"/>
      <w:docPartObj>
        <w:docPartGallery w:val="Page Numbers (Bottom of Page)"/>
        <w:docPartUnique/>
      </w:docPartObj>
    </w:sdtPr>
    <w:sdtEndPr>
      <w:rPr>
        <w:noProof/>
      </w:rPr>
    </w:sdtEndPr>
    <w:sdtContent>
      <w:p w14:paraId="6ACF602D" w14:textId="77777777" w:rsidR="00D03B13" w:rsidRDefault="00D03B13">
        <w:pPr>
          <w:pStyle w:val="Piedepgina"/>
          <w:jc w:val="right"/>
        </w:pPr>
        <w:r>
          <w:fldChar w:fldCharType="begin"/>
        </w:r>
        <w:r>
          <w:instrText xml:space="preserve"> PAGE   \* MERGEFORMAT </w:instrText>
        </w:r>
        <w:r>
          <w:fldChar w:fldCharType="separate"/>
        </w:r>
        <w:r w:rsidR="00113372">
          <w:rPr>
            <w:noProof/>
          </w:rPr>
          <w:t>2</w:t>
        </w:r>
        <w:r>
          <w:rPr>
            <w:noProof/>
          </w:rPr>
          <w:fldChar w:fldCharType="end"/>
        </w:r>
      </w:p>
    </w:sdtContent>
  </w:sdt>
  <w:p w14:paraId="30A98EE4" w14:textId="77777777" w:rsidR="00D03B13" w:rsidRDefault="00D03B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2A32F" w14:textId="77777777" w:rsidR="0077535B" w:rsidRDefault="0077535B" w:rsidP="00D03B13">
      <w:r>
        <w:separator/>
      </w:r>
    </w:p>
  </w:footnote>
  <w:footnote w:type="continuationSeparator" w:id="0">
    <w:p w14:paraId="43D098AE" w14:textId="77777777" w:rsidR="0077535B" w:rsidRDefault="0077535B" w:rsidP="00D0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73109"/>
    <w:multiLevelType w:val="hybridMultilevel"/>
    <w:tmpl w:val="CB90FF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13"/>
    <w:rsid w:val="00113372"/>
    <w:rsid w:val="002B3F30"/>
    <w:rsid w:val="004C18C9"/>
    <w:rsid w:val="005C4EE0"/>
    <w:rsid w:val="007617FE"/>
    <w:rsid w:val="0077535B"/>
    <w:rsid w:val="009E4E0F"/>
    <w:rsid w:val="00D03B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06D7"/>
  <w15:chartTrackingRefBased/>
  <w15:docId w15:val="{ECBC78F8-7A3F-4687-A0BE-AD4C236D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B13"/>
    <w:pPr>
      <w:spacing w:after="0" w:line="240" w:lineRule="auto"/>
    </w:pPr>
    <w:rPr>
      <w:rFonts w:ascii="Times New Roman" w:eastAsia="Times New Roman" w:hAnsi="Times New Roman" w:cs="Times New Roman"/>
      <w:sz w:val="24"/>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D03B13"/>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uiPriority w:val="10"/>
    <w:rsid w:val="00D03B13"/>
    <w:rPr>
      <w:rFonts w:ascii="Cambria" w:eastAsia="Times New Roman" w:hAnsi="Cambria" w:cs="Times New Roman"/>
      <w:b/>
      <w:bCs/>
      <w:kern w:val="28"/>
      <w:sz w:val="32"/>
      <w:szCs w:val="32"/>
      <w:lang w:val="en-US"/>
    </w:rPr>
  </w:style>
  <w:style w:type="paragraph" w:styleId="Encabezado">
    <w:name w:val="header"/>
    <w:basedOn w:val="Normal"/>
    <w:link w:val="EncabezadoCar"/>
    <w:uiPriority w:val="99"/>
    <w:unhideWhenUsed/>
    <w:rsid w:val="00D03B13"/>
    <w:pPr>
      <w:tabs>
        <w:tab w:val="center" w:pos="4513"/>
        <w:tab w:val="right" w:pos="9026"/>
      </w:tabs>
    </w:pPr>
  </w:style>
  <w:style w:type="character" w:customStyle="1" w:styleId="EncabezadoCar">
    <w:name w:val="Encabezado Car"/>
    <w:basedOn w:val="Fuentedeprrafopredeter"/>
    <w:link w:val="Encabezado"/>
    <w:uiPriority w:val="99"/>
    <w:rsid w:val="00D03B13"/>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D03B13"/>
    <w:pPr>
      <w:tabs>
        <w:tab w:val="center" w:pos="4513"/>
        <w:tab w:val="right" w:pos="9026"/>
      </w:tabs>
    </w:pPr>
  </w:style>
  <w:style w:type="character" w:customStyle="1" w:styleId="PiedepginaCar">
    <w:name w:val="Pie de página Car"/>
    <w:basedOn w:val="Fuentedeprrafopredeter"/>
    <w:link w:val="Piedepgina"/>
    <w:uiPriority w:val="99"/>
    <w:rsid w:val="00D03B13"/>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7617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7FE"/>
    <w:rPr>
      <w:rFonts w:ascii="Segoe UI" w:eastAsia="Times New Roman" w:hAnsi="Segoe UI" w:cs="Segoe UI"/>
      <w:sz w:val="18"/>
      <w:szCs w:val="18"/>
      <w:lang w:val="en-US"/>
    </w:rPr>
  </w:style>
  <w:style w:type="character" w:styleId="Hipervnculo">
    <w:name w:val="Hyperlink"/>
    <w:basedOn w:val="Fuentedeprrafopredeter"/>
    <w:uiPriority w:val="99"/>
    <w:rsid w:val="007617FE"/>
    <w:rPr>
      <w:rFonts w:cs="Times New Roman"/>
      <w:color w:val="0000FF"/>
      <w:u w:val="single"/>
    </w:rPr>
  </w:style>
  <w:style w:type="paragraph" w:styleId="NormalWeb">
    <w:name w:val="Normal (Web)"/>
    <w:basedOn w:val="Normal"/>
    <w:uiPriority w:val="99"/>
    <w:rsid w:val="007617FE"/>
    <w:rPr>
      <w:rFonts w:cs="Angsana New"/>
      <w:szCs w:val="28"/>
      <w:lang w:bidi="th-TH"/>
    </w:rPr>
  </w:style>
  <w:style w:type="character" w:styleId="Hipervnculovisitado">
    <w:name w:val="FollowedHyperlink"/>
    <w:basedOn w:val="Fuentedeprrafopredeter"/>
    <w:uiPriority w:val="99"/>
    <w:semiHidden/>
    <w:unhideWhenUsed/>
    <w:rsid w:val="007617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ifhad.org/wp-content/uploads/2020/05/Tovar_MA_2015_Cape_Town_p2_Innovative_community-based_partnership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dc:creator>
  <cp:keywords/>
  <dc:description/>
  <cp:lastModifiedBy>Mich G.</cp:lastModifiedBy>
  <cp:revision>3</cp:revision>
  <dcterms:created xsi:type="dcterms:W3CDTF">2020-08-29T17:13:00Z</dcterms:created>
  <dcterms:modified xsi:type="dcterms:W3CDTF">2020-09-12T19:16:00Z</dcterms:modified>
</cp:coreProperties>
</file>