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C010C" w14:textId="77777777" w:rsidR="00F16AFC" w:rsidRPr="00F16AFC" w:rsidRDefault="00F16AFC" w:rsidP="00F16AF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F16AFC">
        <w:rPr>
          <w:rFonts w:asciiTheme="minorHAnsi" w:eastAsiaTheme="minorEastAsia" w:hAnsiTheme="minorHAnsi" w:cstheme="minorBidi"/>
          <w:sz w:val="22"/>
          <w:szCs w:val="22"/>
        </w:rPr>
        <w:t>ABSTRACT. </w:t>
      </w:r>
      <w:bookmarkStart w:id="0" w:name="_GoBack"/>
      <w:proofErr w:type="spellStart"/>
      <w:r w:rsidRPr="00F16AFC">
        <w:rPr>
          <w:rFonts w:asciiTheme="minorHAnsi" w:eastAsiaTheme="minorEastAsia" w:hAnsiTheme="minorHAnsi" w:cstheme="minorBidi"/>
          <w:sz w:val="22"/>
          <w:szCs w:val="22"/>
        </w:rPr>
        <w:t>Kreniske</w:t>
      </w:r>
      <w:bookmarkEnd w:id="0"/>
      <w:proofErr w:type="spellEnd"/>
      <w:r w:rsidRPr="00F16AFC">
        <w:rPr>
          <w:rFonts w:asciiTheme="minorHAnsi" w:eastAsiaTheme="minorEastAsia" w:hAnsiTheme="minorHAnsi" w:cstheme="minorBidi"/>
          <w:sz w:val="22"/>
          <w:szCs w:val="22"/>
        </w:rPr>
        <w:t xml:space="preserve"> JS, Montoya R, Lozano A, Tapia P, </w:t>
      </w:r>
      <w:proofErr w:type="spellStart"/>
      <w:r w:rsidRPr="00F16AFC">
        <w:rPr>
          <w:rFonts w:asciiTheme="minorHAnsi" w:eastAsiaTheme="minorEastAsia" w:hAnsiTheme="minorHAnsi" w:cstheme="minorBidi"/>
          <w:sz w:val="22"/>
          <w:szCs w:val="22"/>
        </w:rPr>
        <w:t>Patrocinio</w:t>
      </w:r>
      <w:proofErr w:type="spellEnd"/>
      <w:r w:rsidRPr="00F16AFC">
        <w:rPr>
          <w:rFonts w:asciiTheme="minorHAnsi" w:eastAsiaTheme="minorEastAsia" w:hAnsiTheme="minorHAnsi" w:cstheme="minorBidi"/>
          <w:sz w:val="22"/>
          <w:szCs w:val="22"/>
        </w:rPr>
        <w:t xml:space="preserve"> R, Evans CA, </w:t>
      </w:r>
      <w:proofErr w:type="spellStart"/>
      <w:r w:rsidRPr="00F16AFC">
        <w:rPr>
          <w:rFonts w:asciiTheme="minorHAnsi" w:eastAsiaTheme="minorEastAsia" w:hAnsiTheme="minorHAnsi" w:cstheme="minorBidi"/>
          <w:sz w:val="22"/>
          <w:szCs w:val="22"/>
        </w:rPr>
        <w:t>Datta</w:t>
      </w:r>
      <w:proofErr w:type="spellEnd"/>
      <w:r w:rsidRPr="00F16AFC">
        <w:rPr>
          <w:rFonts w:asciiTheme="minorHAnsi" w:eastAsiaTheme="minorEastAsia" w:hAnsiTheme="minorHAnsi" w:cstheme="minorBidi"/>
          <w:sz w:val="22"/>
          <w:szCs w:val="22"/>
        </w:rPr>
        <w:t xml:space="preserve"> S. </w:t>
      </w:r>
    </w:p>
    <w:p w14:paraId="70A7B6F3" w14:textId="77777777" w:rsidR="00F16AFC" w:rsidRDefault="00F16AFC" w:rsidP="00F16AF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F16AFC">
        <w:rPr>
          <w:rFonts w:asciiTheme="minorHAnsi" w:eastAsiaTheme="minorEastAsia" w:hAnsiTheme="minorHAnsi" w:cstheme="minorBidi"/>
          <w:sz w:val="22"/>
          <w:szCs w:val="22"/>
          <w:u w:val="single"/>
        </w:rPr>
        <w:t>La tuberculosis y la migración venezolana en Perú: hacia una intervención informada por la comunidad</w:t>
      </w:r>
    </w:p>
    <w:p w14:paraId="58953F7D" w14:textId="5DB5CCA4" w:rsidR="00F16AFC" w:rsidRPr="00F16AFC" w:rsidRDefault="00F16AFC" w:rsidP="00F16AF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F16AF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International Conference of the American-Thoracic-Society (ATS), </w:t>
      </w:r>
      <w:proofErr w:type="spellStart"/>
      <w:r w:rsidRPr="00F16AFC">
        <w:rPr>
          <w:rFonts w:asciiTheme="minorHAnsi" w:eastAsiaTheme="minorEastAsia" w:hAnsiTheme="minorHAnsi" w:cstheme="minorBidi"/>
          <w:sz w:val="22"/>
          <w:szCs w:val="22"/>
          <w:lang w:val="en-GB"/>
        </w:rPr>
        <w:t>Electr</w:t>
      </w:r>
      <w:proofErr w:type="spellEnd"/>
      <w:r w:rsidRPr="00F16AF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Network, 10 Nov 2020 (10 Oct 2020 Conference). </w:t>
      </w:r>
    </w:p>
    <w:p w14:paraId="1997980F" w14:textId="51D9E2DC" w:rsidR="00F16AFC" w:rsidRPr="00F16AFC" w:rsidRDefault="00F16AFC" w:rsidP="00F16AF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F16AFC">
        <w:rPr>
          <w:rFonts w:asciiTheme="minorHAnsi" w:eastAsiaTheme="minorEastAsia" w:hAnsiTheme="minorHAnsi" w:cstheme="minorBidi"/>
          <w:sz w:val="22"/>
          <w:szCs w:val="22"/>
        </w:rPr>
        <w:t xml:space="preserve">American </w:t>
      </w:r>
      <w:proofErr w:type="spellStart"/>
      <w:r w:rsidRPr="00F16AFC">
        <w:rPr>
          <w:rFonts w:asciiTheme="minorHAnsi" w:eastAsiaTheme="minorEastAsia" w:hAnsiTheme="minorHAnsi" w:cstheme="minorBidi"/>
          <w:sz w:val="22"/>
          <w:szCs w:val="22"/>
        </w:rPr>
        <w:t>Journal</w:t>
      </w:r>
      <w:proofErr w:type="spellEnd"/>
      <w:r w:rsidRPr="00F16AFC">
        <w:rPr>
          <w:rFonts w:asciiTheme="minorHAnsi" w:eastAsiaTheme="minorEastAsia" w:hAnsiTheme="minorHAnsi" w:cstheme="minorBidi"/>
          <w:sz w:val="22"/>
          <w:szCs w:val="22"/>
        </w:rPr>
        <w:t xml:space="preserve"> of </w:t>
      </w:r>
      <w:proofErr w:type="spellStart"/>
      <w:r w:rsidRPr="00F16AFC">
        <w:rPr>
          <w:rFonts w:asciiTheme="minorHAnsi" w:eastAsiaTheme="minorEastAsia" w:hAnsiTheme="minorHAnsi" w:cstheme="minorBidi"/>
          <w:sz w:val="22"/>
          <w:szCs w:val="22"/>
        </w:rPr>
        <w:t>Respiratory</w:t>
      </w:r>
      <w:proofErr w:type="spellEnd"/>
      <w:r w:rsidRPr="00F16AFC">
        <w:rPr>
          <w:rFonts w:asciiTheme="minorHAnsi" w:eastAsiaTheme="minorEastAsia" w:hAnsiTheme="minorHAnsi" w:cstheme="minorBidi"/>
          <w:sz w:val="22"/>
          <w:szCs w:val="22"/>
        </w:rPr>
        <w:t xml:space="preserve"> and Critical Care Medicine</w:t>
      </w:r>
      <w:proofErr w:type="gramStart"/>
      <w:r w:rsidRPr="00F16AFC">
        <w:rPr>
          <w:rFonts w:asciiTheme="minorHAnsi" w:eastAsiaTheme="minorEastAsia" w:hAnsiTheme="minorHAnsi" w:cstheme="minorBidi"/>
          <w:sz w:val="22"/>
          <w:szCs w:val="22"/>
        </w:rPr>
        <w:t>;201:2</w:t>
      </w:r>
      <w:proofErr w:type="gramEnd"/>
      <w:r w:rsidRPr="00F16AFC">
        <w:rPr>
          <w:rFonts w:asciiTheme="minorHAnsi" w:eastAsiaTheme="minorEastAsia" w:hAnsiTheme="minorHAnsi" w:cstheme="minorBidi"/>
          <w:sz w:val="22"/>
          <w:szCs w:val="22"/>
        </w:rPr>
        <w:t>. </w:t>
      </w:r>
      <w:r w:rsidRPr="00F16AFC">
        <w:rPr>
          <w:rFonts w:asciiTheme="minorHAnsi" w:eastAsiaTheme="minorEastAsia" w:hAnsiTheme="minorHAnsi" w:cstheme="minorBidi"/>
          <w:sz w:val="22"/>
          <w:szCs w:val="22"/>
        </w:rPr>
        <w:t>Reino Unido.</w:t>
      </w:r>
    </w:p>
    <w:p w14:paraId="2EE10144" w14:textId="77777777" w:rsidR="00F16AFC" w:rsidRPr="00F16AFC" w:rsidRDefault="00F16AFC" w:rsidP="00F16AFC">
      <w:pPr>
        <w:pStyle w:val="NormalWeb"/>
        <w:shd w:val="clear" w:color="auto" w:fill="FFFFFF"/>
        <w:spacing w:before="0" w:beforeAutospacing="0" w:after="0" w:afterAutospacing="0"/>
      </w:pPr>
    </w:p>
    <w:p w14:paraId="67B1303E" w14:textId="7959A6A7" w:rsidR="00F16AFC" w:rsidRDefault="00F16AFC" w:rsidP="00F16AFC">
      <w:pPr>
        <w:spacing w:after="0"/>
        <w:jc w:val="both"/>
        <w:rPr>
          <w:b/>
        </w:rPr>
      </w:pPr>
      <w:r w:rsidRPr="00F16AFC">
        <w:rPr>
          <w:b/>
        </w:rPr>
        <w:t xml:space="preserve">Correo electrónico del autor para correspondencia: </w:t>
      </w:r>
      <w:hyperlink r:id="rId4" w:history="1">
        <w:r w:rsidRPr="00F16AFC">
          <w:rPr>
            <w:rStyle w:val="Hipervnculo"/>
            <w:b/>
            <w:color w:val="auto"/>
          </w:rPr>
          <w:t>jkreniske@tulane.edu</w:t>
        </w:r>
      </w:hyperlink>
    </w:p>
    <w:p w14:paraId="22789303" w14:textId="77777777" w:rsidR="00F16AFC" w:rsidRPr="00F16AFC" w:rsidRDefault="00F16AFC" w:rsidP="00F16AFC">
      <w:pPr>
        <w:spacing w:after="0"/>
        <w:jc w:val="both"/>
        <w:rPr>
          <w:b/>
        </w:rPr>
      </w:pPr>
    </w:p>
    <w:p w14:paraId="08899A37" w14:textId="77777777" w:rsidR="00F16AFC" w:rsidRDefault="00F16AFC" w:rsidP="00F16AFC">
      <w:pPr>
        <w:spacing w:after="0"/>
        <w:jc w:val="both"/>
      </w:pPr>
      <w:r>
        <w:t>Justificación: A</w:t>
      </w:r>
      <w:r w:rsidRPr="00F16AFC">
        <w:t xml:space="preserve"> pesar de décadas de terapia antimicrobiana eficaz, la tuberculosis (TB) sigue matando a más personas que cualquier otra</w:t>
      </w:r>
      <w:r>
        <w:t xml:space="preserve"> </w:t>
      </w:r>
      <w:r w:rsidRPr="00F16AFC">
        <w:t>infección. Según la Organización Mundial de la Salud (OMS), las soluciones para acabar con la tuberculosis deben incluir intervenciones adaptadas a</w:t>
      </w:r>
      <w:r>
        <w:t xml:space="preserve"> </w:t>
      </w:r>
      <w:r w:rsidRPr="00F16AFC">
        <w:t>poblaciones vulnerables. Por lo tanto, la eliminación mundial de la tuberculosis requiere comprender y abordar las necesidades de los migrantes, pero</w:t>
      </w:r>
      <w:r>
        <w:t xml:space="preserve"> </w:t>
      </w:r>
      <w:r w:rsidRPr="00F16AFC">
        <w:t>Existe evidencia limitada para orientar la atención personalizada. Desde 2018, la mayor crisis de refugiados en la historia de América Latina ha provocado</w:t>
      </w:r>
      <w:r>
        <w:t xml:space="preserve"> </w:t>
      </w:r>
      <w:r w:rsidRPr="00F16AFC">
        <w:t>una migración sin precedentes de 3-4 millones de ciudadanos venezolanos, principalmente a las naciones vecinas de América del Sur y</w:t>
      </w:r>
      <w:r>
        <w:t xml:space="preserve"> </w:t>
      </w:r>
      <w:r w:rsidRPr="00F16AFC">
        <w:t>Estados Unidos. Perú tiene el mayor número de solicitudes de asilo venezolanas en el mundo y la mayor carga de</w:t>
      </w:r>
      <w:r>
        <w:t xml:space="preserve"> </w:t>
      </w:r>
      <w:r w:rsidRPr="00F16AFC">
        <w:t>TB resistente a los antimicrobianos (MDR-TB) en las Américas. Por lo tanto, las intervenciones de TB que incluyan a los migrantes en Perú se necesitan con urgencia en</w:t>
      </w:r>
      <w:r>
        <w:t xml:space="preserve"> </w:t>
      </w:r>
      <w:r w:rsidRPr="00F16AFC">
        <w:t>con el fin de mantener el progreso en el esfuerzo regional para erradicar la tuberculosis. Nuestro estudio aplica métodos participativos comunitarios</w:t>
      </w:r>
      <w:r>
        <w:t xml:space="preserve"> </w:t>
      </w:r>
      <w:r w:rsidRPr="00F16AFC">
        <w:t>hacia la optimización de la atención de la tuberculosis para los venezolanos en Perú, con el objetivo más amplio de informar una investigación que incluya a los migrantes</w:t>
      </w:r>
      <w:r>
        <w:t xml:space="preserve"> </w:t>
      </w:r>
      <w:r w:rsidRPr="00F16AFC">
        <w:t xml:space="preserve">agenda para acabar con la tuberculosis en las Américas. </w:t>
      </w:r>
    </w:p>
    <w:p w14:paraId="2374E714" w14:textId="77777777" w:rsidR="00737743" w:rsidRDefault="00F16AFC" w:rsidP="00F16AFC">
      <w:pPr>
        <w:spacing w:after="0"/>
        <w:jc w:val="both"/>
      </w:pPr>
      <w:r w:rsidRPr="00F16AFC">
        <w:t>Métodos: Este estudio cualitativo comprendió entrevistas semiestructuradas que involucraron</w:t>
      </w:r>
      <w:r>
        <w:t xml:space="preserve"> </w:t>
      </w:r>
      <w:r w:rsidRPr="00F16AFC">
        <w:t>Pacientes venezolanos con TB, proveedores de atención médica de TB, legisladores de TB y líderes comunitarios venezolanos. Las entrevistas fueron</w:t>
      </w:r>
      <w:r>
        <w:t xml:space="preserve"> </w:t>
      </w:r>
      <w:r w:rsidRPr="00F16AFC">
        <w:t>realizadas en los distritos de mayor carga de TB de Lima-Callao, y en Tumbes, el punto de migración terrestre hacia el Perú. Un total de</w:t>
      </w:r>
      <w:r>
        <w:t xml:space="preserve"> </w:t>
      </w:r>
      <w:r w:rsidRPr="00F16AFC">
        <w:t>21 entrevistas en profundidad se orientaron a solicitar perspectivas a nivel comunitario sobre la prestación de atención óptima, y ​​se analizaron</w:t>
      </w:r>
      <w:r>
        <w:t xml:space="preserve"> </w:t>
      </w:r>
      <w:r w:rsidRPr="00F16AFC">
        <w:t xml:space="preserve">para destacar las oportunidades de intervención. </w:t>
      </w:r>
    </w:p>
    <w:p w14:paraId="65166612" w14:textId="77777777" w:rsidR="00737743" w:rsidRDefault="00F16AFC" w:rsidP="00F16AFC">
      <w:pPr>
        <w:spacing w:after="0"/>
        <w:jc w:val="both"/>
      </w:pPr>
      <w:r w:rsidRPr="00F16AFC">
        <w:t xml:space="preserve">Resultados: El acceso y la finalización de la atención de la tuberculosis para los venezolanos en Perú </w:t>
      </w:r>
      <w:r w:rsidR="00737743" w:rsidRPr="00F16AFC">
        <w:t>son</w:t>
      </w:r>
      <w:r>
        <w:t xml:space="preserve"> </w:t>
      </w:r>
      <w:r w:rsidR="00737743" w:rsidRPr="00F16AFC">
        <w:t>complicados</w:t>
      </w:r>
      <w:r w:rsidRPr="00F16AFC">
        <w:t xml:space="preserve"> por un conocimiento limitado de la tuberculosis, la falta de familiaridad con el sistema de salud del país de acogida y el precario apoyo socioeconómico durante</w:t>
      </w:r>
      <w:r w:rsidR="00737743">
        <w:t xml:space="preserve"> </w:t>
      </w:r>
      <w:r w:rsidRPr="00F16AFC">
        <w:t>enfermedad (ver figura). El cambio en el estatus legal y los derechos de salud de los venezolanos en Perú resulta en una desconexión entre</w:t>
      </w:r>
      <w:r>
        <w:t xml:space="preserve"> </w:t>
      </w:r>
      <w:r w:rsidRPr="00F16AFC">
        <w:t>las percepciones de los formuladores de políticas y las realidades sobre el terreno. Las vías hacia el diagnóstico son, por tanto, complicadas y asociadas con</w:t>
      </w:r>
      <w:r w:rsidR="00737743">
        <w:t xml:space="preserve"> </w:t>
      </w:r>
      <w:r w:rsidRPr="00F16AFC">
        <w:t>exceso de pagos de bolsillo. Las dificultades financieras se ven exacerbadas por la necesidad de ganar dinero tanto para la subsistencia como para</w:t>
      </w:r>
      <w:r>
        <w:t xml:space="preserve"> </w:t>
      </w:r>
      <w:r w:rsidRPr="00F16AFC">
        <w:t>remesas. Los venezolanos están además mal equipados para absorber los costos catastróficos de la tuberculosis debido a las frágiles redes sociales mientras están en</w:t>
      </w:r>
      <w:r>
        <w:t xml:space="preserve"> </w:t>
      </w:r>
      <w:r w:rsidRPr="00F16AFC">
        <w:t>Perú. La xenofobia es común y, en ocasiones, contribuye a las interrup</w:t>
      </w:r>
      <w:r w:rsidR="00737743">
        <w:t>ciones del tratamiento.</w:t>
      </w:r>
    </w:p>
    <w:p w14:paraId="7B6A9D98" w14:textId="43C026A1" w:rsidR="00F16AFC" w:rsidRPr="00F16AFC" w:rsidRDefault="00F16AFC" w:rsidP="00F16AFC">
      <w:pPr>
        <w:spacing w:after="0"/>
        <w:jc w:val="both"/>
      </w:pPr>
      <w:r w:rsidRPr="00F16AFC">
        <w:t>Conclusiones: Basado en las perspectivas de los formuladores de políticas, proveedores de atención médica y miembros de la comunidad venezolana, los puntos más efectivos de</w:t>
      </w:r>
      <w:r>
        <w:t xml:space="preserve"> </w:t>
      </w:r>
      <w:r w:rsidRPr="00F16AFC">
        <w:t>La intervención para esta población migrante parece estar al nivel de conciencia sobre la tuberculosis, educación del sistema de salud y</w:t>
      </w:r>
      <w:r>
        <w:t xml:space="preserve"> </w:t>
      </w:r>
      <w:r w:rsidRPr="00F16AFC">
        <w:t>apoyo. La xenofobia dentro del sistema de salud fue particularmente perjudicial, por lo que las intervenciones hacia la aceptación representan</w:t>
      </w:r>
      <w:r>
        <w:t xml:space="preserve"> </w:t>
      </w:r>
      <w:r w:rsidRPr="00F16AFC">
        <w:t>otra oportunidad para optimizar la atención.</w:t>
      </w:r>
    </w:p>
    <w:p w14:paraId="64BA5E61" w14:textId="7F349178" w:rsidR="00A54B9B" w:rsidRPr="00F16AFC" w:rsidRDefault="00A54B9B" w:rsidP="00F16AFC">
      <w:pPr>
        <w:spacing w:after="0"/>
        <w:jc w:val="both"/>
      </w:pPr>
    </w:p>
    <w:sectPr w:rsidR="00A54B9B" w:rsidRPr="00F16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9B"/>
    <w:rsid w:val="004E53E5"/>
    <w:rsid w:val="00574E81"/>
    <w:rsid w:val="00650996"/>
    <w:rsid w:val="00737743"/>
    <w:rsid w:val="00A54B9B"/>
    <w:rsid w:val="00F16AFC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13005"/>
  <w15:docId w15:val="{6316F518-E09B-42D3-A72B-EC9A7A9E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2">
    <w:name w:val="heading 2"/>
    <w:basedOn w:val="Normal"/>
    <w:link w:val="Ttulo2Car"/>
    <w:uiPriority w:val="9"/>
    <w:qFormat/>
    <w:rsid w:val="00A54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54B9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54B9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54B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5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D0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reniske@tula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2</cp:revision>
  <dcterms:created xsi:type="dcterms:W3CDTF">2020-11-03T17:26:00Z</dcterms:created>
  <dcterms:modified xsi:type="dcterms:W3CDTF">2020-11-03T17:26:00Z</dcterms:modified>
</cp:coreProperties>
</file>