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98" w:rsidRPr="002C6698" w:rsidRDefault="002C6698" w:rsidP="002C6698">
      <w:pPr>
        <w:spacing w:after="0"/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</w:pP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Mekonnen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B,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Mihret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A,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Getahun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M,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Hailu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T, Sidiki S, V Kelley H,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Scordo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JM, Hunt WG, Pan X,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Balada-Llasat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JM,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Gebreyes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W, Evans CA,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Aseffa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A,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Torrelles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JB, Wang SH,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Abebe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T.</w:t>
      </w:r>
    </w:p>
    <w:p w:rsidR="002C6698" w:rsidRDefault="002C6698" w:rsidP="002C6698">
      <w:pPr>
        <w:spacing w:after="0"/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</w:pPr>
      <w:bookmarkStart w:id="0" w:name="_GoBack"/>
      <w:r w:rsidRPr="002C6698">
        <w:rPr>
          <w:rStyle w:val="Hipervnculo"/>
          <w:rFonts w:ascii="Calibri" w:hAnsi="Calibri" w:cs="Calibri"/>
          <w:color w:val="auto"/>
          <w:bdr w:val="none" w:sz="0" w:space="0" w:color="auto" w:frame="1"/>
        </w:rPr>
        <w:t xml:space="preserve">Evaluación de la prueba de placa de color de cultivo de tuberculosis para la detección rápida de Mycobacterium tuberculosis sensible y resistente </w:t>
      </w:r>
      <w:bookmarkEnd w:id="0"/>
      <w:r w:rsidRPr="002C6698">
        <w:rPr>
          <w:rStyle w:val="Hipervnculo"/>
          <w:rFonts w:ascii="Calibri" w:hAnsi="Calibri" w:cs="Calibri"/>
          <w:color w:val="auto"/>
          <w:bdr w:val="none" w:sz="0" w:space="0" w:color="auto" w:frame="1"/>
        </w:rPr>
        <w:t>a los medicamentos en un entorno de recursos limitados, Addis Abeba, Etiopía</w:t>
      </w:r>
    </w:p>
    <w:p w:rsidR="002C6698" w:rsidRPr="002C6698" w:rsidRDefault="002C6698" w:rsidP="002C6698">
      <w:pPr>
        <w:spacing w:after="0"/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</w:pP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PLoS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 ONE 2019</w:t>
      </w:r>
      <w:proofErr w:type="gram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;14</w:t>
      </w:r>
      <w:proofErr w:type="gram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 xml:space="preserve">(5):e0215679. </w:t>
      </w:r>
      <w:proofErr w:type="spellStart"/>
      <w:proofErr w:type="gram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doi</w:t>
      </w:r>
      <w:proofErr w:type="spellEnd"/>
      <w:proofErr w:type="gram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t>: 10.1371/journal.pone.0215679.</w:t>
      </w:r>
    </w:p>
    <w:p w:rsidR="002A0ED4" w:rsidRPr="002C6698" w:rsidRDefault="002C6698" w:rsidP="002C6698">
      <w:pPr>
        <w:spacing w:after="0"/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</w:pPr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Acceso abierto: </w:t>
      </w:r>
      <w:r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fldChar w:fldCharType="begin"/>
      </w:r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instrText xml:space="preserve"> HYPERLINK "https://www.ncbi.nlm.nih.gov/pubmed/31136575/" </w:instrText>
      </w:r>
      <w:r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</w:r>
      <w:r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fldChar w:fldCharType="separate"/>
      </w:r>
      <w:r w:rsidRPr="002C6698">
        <w:rPr>
          <w:rStyle w:val="Hipervnculo"/>
          <w:rFonts w:ascii="Calibri" w:hAnsi="Calibri" w:cs="Calibri"/>
          <w:bdr w:val="none" w:sz="0" w:space="0" w:color="auto" w:frame="1"/>
        </w:rPr>
        <w:t>https://www.ncbi.nlm.nih.gov/pubmed/31136575/</w:t>
      </w:r>
      <w:r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  <w:lang w:val="en-GB"/>
        </w:rPr>
        <w:fldChar w:fldCharType="end"/>
      </w:r>
    </w:p>
    <w:p w:rsidR="002A0ED4" w:rsidRPr="002C6698" w:rsidRDefault="002A0ED4" w:rsidP="002A0ED4">
      <w:pPr>
        <w:spacing w:after="0"/>
        <w:rPr>
          <w:rStyle w:val="Hipervnculo"/>
          <w:rFonts w:ascii="Calibri" w:hAnsi="Calibri" w:cs="Calibri"/>
          <w:bdr w:val="none" w:sz="0" w:space="0" w:color="auto" w:frame="1"/>
        </w:rPr>
      </w:pPr>
    </w:p>
    <w:p w:rsidR="002C6698" w:rsidRPr="002C6698" w:rsidRDefault="002C6698" w:rsidP="002A0ED4">
      <w:pPr>
        <w:spacing w:after="0"/>
        <w:rPr>
          <w:rStyle w:val="Hipervnculo"/>
          <w:rFonts w:ascii="Calibri" w:hAnsi="Calibri" w:cs="Calibri"/>
          <w:bdr w:val="none" w:sz="0" w:space="0" w:color="auto" w:frame="1"/>
        </w:rPr>
      </w:pPr>
    </w:p>
    <w:p w:rsidR="002C6698" w:rsidRDefault="002C6698" w:rsidP="002C6698">
      <w:pPr>
        <w:spacing w:after="0"/>
        <w:jc w:val="both"/>
        <w:rPr>
          <w:rStyle w:val="Hipervnculo"/>
          <w:rFonts w:ascii="Calibri" w:hAnsi="Calibri" w:cs="Calibri"/>
          <w:b/>
          <w:color w:val="auto"/>
          <w:u w:val="none"/>
          <w:bdr w:val="none" w:sz="0" w:space="0" w:color="auto" w:frame="1"/>
        </w:rPr>
      </w:pPr>
      <w:r w:rsidRPr="002C6698">
        <w:rPr>
          <w:rStyle w:val="Hipervnculo"/>
          <w:rFonts w:ascii="Calibri" w:hAnsi="Calibri" w:cs="Calibri"/>
          <w:b/>
          <w:color w:val="auto"/>
          <w:u w:val="none"/>
          <w:bdr w:val="none" w:sz="0" w:space="0" w:color="auto" w:frame="1"/>
        </w:rPr>
        <w:t>Resumen</w:t>
      </w:r>
    </w:p>
    <w:p w:rsidR="002C6698" w:rsidRPr="002C6698" w:rsidRDefault="002C6698" w:rsidP="002C6698">
      <w:pPr>
        <w:spacing w:after="0"/>
        <w:jc w:val="both"/>
        <w:rPr>
          <w:rStyle w:val="Hipervnculo"/>
          <w:rFonts w:ascii="Calibri" w:hAnsi="Calibri" w:cs="Calibri"/>
          <w:b/>
          <w:color w:val="auto"/>
          <w:u w:val="none"/>
          <w:bdr w:val="none" w:sz="0" w:space="0" w:color="auto" w:frame="1"/>
        </w:rPr>
      </w:pPr>
    </w:p>
    <w:p w:rsidR="002A0ED4" w:rsidRPr="002C6698" w:rsidRDefault="002C6698" w:rsidP="002C6698">
      <w:pPr>
        <w:spacing w:after="0"/>
        <w:jc w:val="both"/>
        <w:rPr>
          <w:rStyle w:val="Hipervnculo"/>
          <w:rFonts w:cs="Calibri"/>
          <w:color w:val="auto"/>
          <w:u w:val="none"/>
          <w:bdr w:val="none" w:sz="0" w:space="0" w:color="auto" w:frame="1"/>
        </w:rPr>
      </w:pPr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El diagnóstico oportuno de tuberculosis (TB) es limitado en Etiopía. Evaluamos el rendimiento de una prueba de placa de color de cultivo de Mycobacterium tuberculosis (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M.tb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) (TB-CX) con agar de capa fina y baja tecnología con pruebas de susceptibilidad a fármacos (DST) simultáneas a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isoniazida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 (INH), rifampicina (RIF) y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pirazinamida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. (PZA) directamente de muestras de esputo. Los pacientes que se sometieron a un examen de TB y TB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multirresistente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 (MDR) se inscribieron en Addis Abeba, Etiopía, desde marzo de 2016 hasta febrero de 2017. Todos los sujetos recibieron una prueba GeneXpert MTB/RIF PCR. Los resultados de la prueba TB-CX se compararon con el cultivo de referencia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Löwenstein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-Jensen (LJ) para la detección de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M.tb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 y la DST para la susceptibilidad a INH y RIF. Se aplicó la estadística Kappa para probar la concordancia entre los resultados de la prueba TB-CX y los métodos de referencia, un valor de corte de Kappa de 0,75 se consideró como un alto nivel de concordancia. Se analizaron un total de 137 participantes: 88 (64%) eran casos nuevos de TB, 49 (36%) eran casos de retratamiento. La prueba TB-CX detectó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M.tb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 y DST en un promedio de 13 días en comparación con los 50 días del resultado DST convencional. La sensibilidad y especificidad de la prueba TB-CX para detectar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M.tb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 fue del 94 % y 98 %, respectivamente (concordancia, 96 %; kappa 0,91). La sensibilidad de la prueba TB-CX para detectar la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farmacorresistencia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 de INH, RIF y MDR-TB fue del 91 %, 100 % y 90 %, respectivamente. La especificidad de la prueba TB-CX para detectar INH, RIF y MDR-TB fue del 94 %, 40 % y 94 %, respectivamente. La concordancia general entre la prueba TB-CX y LJ DST para la detección de MDR-TB fue del 93 %. La prueba TB-CX mostró una fuerte concordancia con la prueba GeneXpert para detectar </w:t>
      </w:r>
      <w:proofErr w:type="spellStart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>M.tb</w:t>
      </w:r>
      <w:proofErr w:type="spellEnd"/>
      <w:r w:rsidRPr="002C6698">
        <w:rPr>
          <w:rStyle w:val="Hipervnculo"/>
          <w:rFonts w:ascii="Calibri" w:hAnsi="Calibri" w:cs="Calibri"/>
          <w:color w:val="auto"/>
          <w:u w:val="none"/>
          <w:bdr w:val="none" w:sz="0" w:space="0" w:color="auto" w:frame="1"/>
        </w:rPr>
        <w:t xml:space="preserve"> (89 %, kappa 0,76) pero baja concordancia para la detección de resistencia a RIF (57 %, kappa 0,28). Se encontró que la prueba TB-CX es un buen método alternativo para la detección de TB y TB resistente a medicamentos selectiva de manera oportuna y rentable.</w:t>
      </w:r>
    </w:p>
    <w:sectPr w:rsidR="002A0ED4" w:rsidRPr="002C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4"/>
    <w:rsid w:val="00181D2F"/>
    <w:rsid w:val="002A0ED4"/>
    <w:rsid w:val="002C6698"/>
    <w:rsid w:val="00A1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7AE0A7-5EEA-444B-9E2E-3F9809CA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A0ED4"/>
    <w:rPr>
      <w:rFonts w:ascii="Garamond" w:hAnsi="Garamond"/>
      <w:caps/>
      <w:spacing w:val="0"/>
      <w:sz w:val="18"/>
    </w:rPr>
  </w:style>
  <w:style w:type="character" w:styleId="Hipervnculo">
    <w:name w:val="Hyperlink"/>
    <w:basedOn w:val="Fuentedeprrafopredeter"/>
    <w:uiPriority w:val="99"/>
    <w:rsid w:val="002A0E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965D-FE64-4DB2-B879-17CB26AE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2022-10-04T18:10:00Z</dcterms:created>
  <dcterms:modified xsi:type="dcterms:W3CDTF">2022-10-04T18:10:00Z</dcterms:modified>
</cp:coreProperties>
</file>