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14" w:rsidRPr="00060C3B" w:rsidRDefault="00B10A14" w:rsidP="00B10A14">
      <w:pPr>
        <w:rPr>
          <w:rFonts w:ascii="Calibri" w:hAnsi="Calibri" w:cs="Arial"/>
          <w:sz w:val="22"/>
          <w:szCs w:val="22"/>
          <w:shd w:val="clear" w:color="auto" w:fill="FFFFFF"/>
          <w:lang w:val="es-PE"/>
        </w:rPr>
      </w:pPr>
      <w:r w:rsidRPr="00060C3B">
        <w:rPr>
          <w:rFonts w:ascii="Calibri" w:hAnsi="Calibri" w:cs="Arial"/>
          <w:sz w:val="22"/>
          <w:szCs w:val="22"/>
          <w:shd w:val="clear" w:color="auto" w:fill="FFFFFF"/>
          <w:lang w:val="es-PE"/>
        </w:rPr>
        <w:t xml:space="preserve">Shell SS*, Ramos E*, Herrera B*, </w:t>
      </w:r>
      <w:proofErr w:type="spellStart"/>
      <w:r w:rsidRPr="00060C3B">
        <w:rPr>
          <w:rFonts w:ascii="Calibri" w:hAnsi="Calibri" w:cs="Arial"/>
          <w:sz w:val="22"/>
          <w:szCs w:val="22"/>
          <w:shd w:val="clear" w:color="auto" w:fill="FFFFFF"/>
          <w:lang w:val="es-PE"/>
        </w:rPr>
        <w:t>Gilman</w:t>
      </w:r>
      <w:proofErr w:type="spellEnd"/>
      <w:r w:rsidRPr="00060C3B">
        <w:rPr>
          <w:rFonts w:ascii="Calibri" w:hAnsi="Calibri" w:cs="Arial"/>
          <w:sz w:val="22"/>
          <w:szCs w:val="22"/>
          <w:shd w:val="clear" w:color="auto" w:fill="FFFFFF"/>
          <w:lang w:val="es-PE"/>
        </w:rPr>
        <w:t xml:space="preserve"> RH, Quino W, Alvarado J, Valencia T, </w:t>
      </w:r>
      <w:proofErr w:type="spellStart"/>
      <w:r w:rsidRPr="00060C3B">
        <w:rPr>
          <w:rFonts w:ascii="Calibri" w:hAnsi="Calibri" w:cs="Arial"/>
          <w:sz w:val="22"/>
          <w:szCs w:val="22"/>
          <w:shd w:val="clear" w:color="auto" w:fill="FFFFFF"/>
          <w:lang w:val="es-PE"/>
        </w:rPr>
        <w:t>Sandhu</w:t>
      </w:r>
      <w:proofErr w:type="spellEnd"/>
      <w:r w:rsidRPr="00060C3B">
        <w:rPr>
          <w:rFonts w:ascii="Calibri" w:hAnsi="Calibri" w:cs="Arial"/>
          <w:sz w:val="22"/>
          <w:szCs w:val="22"/>
          <w:shd w:val="clear" w:color="auto" w:fill="FFFFFF"/>
          <w:lang w:val="es-PE"/>
        </w:rPr>
        <w:t xml:space="preserve"> G, Rivero M, Carrera S, Montoya R, Alva J, Franco J, Haro M, Sosa R, Valera E, Valiente B, </w:t>
      </w:r>
      <w:proofErr w:type="spellStart"/>
      <w:r w:rsidRPr="00060C3B">
        <w:rPr>
          <w:rFonts w:ascii="Calibri" w:hAnsi="Calibri" w:cs="Arial"/>
          <w:sz w:val="22"/>
          <w:szCs w:val="22"/>
          <w:shd w:val="clear" w:color="auto" w:fill="FFFFFF"/>
          <w:lang w:val="es-PE"/>
        </w:rPr>
        <w:t>Curatola</w:t>
      </w:r>
      <w:proofErr w:type="spellEnd"/>
      <w:r w:rsidRPr="00060C3B">
        <w:rPr>
          <w:rFonts w:ascii="Calibri" w:hAnsi="Calibri" w:cs="Arial"/>
          <w:sz w:val="22"/>
          <w:szCs w:val="22"/>
          <w:shd w:val="clear" w:color="auto" w:fill="FFFFFF"/>
          <w:lang w:val="es-PE"/>
        </w:rPr>
        <w:t xml:space="preserve"> A, </w:t>
      </w:r>
      <w:proofErr w:type="spellStart"/>
      <w:r w:rsidRPr="00060C3B">
        <w:rPr>
          <w:rFonts w:ascii="Calibri" w:hAnsi="Calibri" w:cs="Arial"/>
          <w:sz w:val="22"/>
          <w:szCs w:val="22"/>
          <w:shd w:val="clear" w:color="auto" w:fill="FFFFFF"/>
          <w:lang w:val="es-PE"/>
        </w:rPr>
        <w:t>Escombe</w:t>
      </w:r>
      <w:proofErr w:type="spellEnd"/>
      <w:r w:rsidRPr="00060C3B">
        <w:rPr>
          <w:rFonts w:ascii="Calibri" w:hAnsi="Calibri" w:cs="Arial"/>
          <w:sz w:val="22"/>
          <w:szCs w:val="22"/>
          <w:shd w:val="clear" w:color="auto" w:fill="FFFFFF"/>
          <w:lang w:val="es-PE"/>
        </w:rPr>
        <w:t xml:space="preserve"> AR, Moore DAJ, </w:t>
      </w:r>
      <w:proofErr w:type="spellStart"/>
      <w:r w:rsidRPr="00060C3B">
        <w:rPr>
          <w:rFonts w:ascii="Calibri" w:hAnsi="Calibri" w:cs="Arial"/>
          <w:sz w:val="22"/>
          <w:szCs w:val="22"/>
          <w:shd w:val="clear" w:color="auto" w:fill="FFFFFF"/>
          <w:lang w:val="es-PE"/>
        </w:rPr>
        <w:t>Sheen</w:t>
      </w:r>
      <w:proofErr w:type="spellEnd"/>
      <w:r w:rsidRPr="00060C3B">
        <w:rPr>
          <w:rFonts w:ascii="Calibri" w:hAnsi="Calibri" w:cs="Arial"/>
          <w:sz w:val="22"/>
          <w:szCs w:val="22"/>
          <w:shd w:val="clear" w:color="auto" w:fill="FFFFFF"/>
          <w:lang w:val="es-PE"/>
        </w:rPr>
        <w:t xml:space="preserve"> P, Evans CA.(*</w:t>
      </w:r>
      <w:proofErr w:type="spellStart"/>
      <w:r w:rsidRPr="00060C3B">
        <w:rPr>
          <w:rFonts w:ascii="Calibri" w:hAnsi="Calibri" w:cs="Arial"/>
          <w:sz w:val="22"/>
          <w:szCs w:val="22"/>
          <w:shd w:val="clear" w:color="auto" w:fill="FFFFFF"/>
          <w:lang w:val="es-PE"/>
        </w:rPr>
        <w:t>Joint</w:t>
      </w:r>
      <w:proofErr w:type="spellEnd"/>
      <w:r w:rsidRPr="00060C3B">
        <w:rPr>
          <w:rFonts w:ascii="Calibri" w:hAnsi="Calibri" w:cs="Arial"/>
          <w:sz w:val="22"/>
          <w:szCs w:val="22"/>
          <w:shd w:val="clear" w:color="auto" w:fill="FFFFFF"/>
          <w:lang w:val="es-PE"/>
        </w:rPr>
        <w:t xml:space="preserve"> </w:t>
      </w:r>
      <w:proofErr w:type="spellStart"/>
      <w:r w:rsidRPr="00060C3B">
        <w:rPr>
          <w:rFonts w:ascii="Calibri" w:hAnsi="Calibri" w:cs="Arial"/>
          <w:sz w:val="22"/>
          <w:szCs w:val="22"/>
          <w:shd w:val="clear" w:color="auto" w:fill="FFFFFF"/>
          <w:lang w:val="es-PE"/>
        </w:rPr>
        <w:t>first</w:t>
      </w:r>
      <w:proofErr w:type="spellEnd"/>
      <w:r w:rsidRPr="00060C3B">
        <w:rPr>
          <w:rFonts w:ascii="Calibri" w:hAnsi="Calibri" w:cs="Arial"/>
          <w:sz w:val="22"/>
          <w:szCs w:val="22"/>
          <w:shd w:val="clear" w:color="auto" w:fill="FFFFFF"/>
          <w:lang w:val="es-PE"/>
        </w:rPr>
        <w:t xml:space="preserve"> </w:t>
      </w:r>
      <w:proofErr w:type="spellStart"/>
      <w:r w:rsidRPr="00060C3B">
        <w:rPr>
          <w:rFonts w:ascii="Calibri" w:hAnsi="Calibri" w:cs="Arial"/>
          <w:sz w:val="22"/>
          <w:szCs w:val="22"/>
          <w:shd w:val="clear" w:color="auto" w:fill="FFFFFF"/>
          <w:lang w:val="es-PE"/>
        </w:rPr>
        <w:t>authors</w:t>
      </w:r>
      <w:proofErr w:type="spellEnd"/>
      <w:r w:rsidRPr="00060C3B">
        <w:rPr>
          <w:rFonts w:ascii="Calibri" w:hAnsi="Calibri" w:cs="Arial"/>
          <w:sz w:val="22"/>
          <w:szCs w:val="22"/>
          <w:shd w:val="clear" w:color="auto" w:fill="FFFFFF"/>
          <w:lang w:val="es-PE"/>
        </w:rPr>
        <w:t>)</w:t>
      </w:r>
      <w:r w:rsidRPr="00060C3B">
        <w:rPr>
          <w:rFonts w:ascii="Calibri" w:hAnsi="Calibri" w:cs="Arial"/>
          <w:sz w:val="22"/>
          <w:szCs w:val="22"/>
          <w:lang w:val="es-PE"/>
        </w:rPr>
        <w:br/>
      </w:r>
      <w:r w:rsidRPr="00060C3B">
        <w:rPr>
          <w:rFonts w:ascii="Calibri" w:hAnsi="Calibri" w:cs="Arial"/>
          <w:sz w:val="22"/>
          <w:szCs w:val="22"/>
          <w:u w:val="single"/>
          <w:bdr w:val="none" w:sz="0" w:space="0" w:color="auto" w:frame="1"/>
          <w:shd w:val="clear" w:color="auto" w:fill="FFFFFF"/>
          <w:lang w:val="es-PE"/>
        </w:rPr>
        <w:t>Mejora del diagnóstico de cultivo de tuberculosis con el indicador colorimétrico STC.</w:t>
      </w:r>
      <w:r w:rsidRPr="00060C3B">
        <w:rPr>
          <w:rFonts w:ascii="Calibri" w:hAnsi="Calibri" w:cs="Arial"/>
          <w:sz w:val="22"/>
          <w:szCs w:val="22"/>
          <w:lang w:val="es-PE"/>
        </w:rPr>
        <w:br/>
      </w:r>
      <w:r w:rsidRPr="006563D2">
        <w:rPr>
          <w:rFonts w:ascii="Calibri" w:hAnsi="Calibri" w:cs="Arial"/>
          <w:sz w:val="22"/>
          <w:szCs w:val="22"/>
          <w:shd w:val="clear" w:color="auto" w:fill="FFFFFF"/>
        </w:rPr>
        <w:t>Poster presentation.</w:t>
      </w:r>
      <w:r w:rsidRPr="006563D2">
        <w:rPr>
          <w:rFonts w:ascii="Calibri" w:hAnsi="Calibri" w:cs="Arial"/>
          <w:sz w:val="22"/>
          <w:szCs w:val="22"/>
        </w:rPr>
        <w:br/>
      </w:r>
      <w:r w:rsidRPr="006563D2">
        <w:rPr>
          <w:rStyle w:val="nfasis"/>
          <w:rFonts w:ascii="Calibri" w:hAnsi="Calibri" w:cs="Arial"/>
          <w:i w:val="0"/>
          <w:iCs w:val="0"/>
          <w:sz w:val="22"/>
          <w:szCs w:val="22"/>
          <w:bdr w:val="none" w:sz="0" w:space="0" w:color="auto" w:frame="1"/>
          <w:shd w:val="clear" w:color="auto" w:fill="FFFFFF"/>
        </w:rPr>
        <w:t>In Proceedings of the 56th Annual Meeting of the American Society of Tropical Medicine and Hygiene</w:t>
      </w:r>
      <w:r w:rsidRPr="006563D2">
        <w:rPr>
          <w:rFonts w:ascii="Calibri" w:hAnsi="Calibri" w:cs="Arial"/>
          <w:i/>
          <w:iCs/>
          <w:sz w:val="22"/>
          <w:szCs w:val="22"/>
          <w:shd w:val="clear" w:color="auto" w:fill="FFFFFF"/>
        </w:rPr>
        <w:t xml:space="preserve">: </w:t>
      </w:r>
      <w:r w:rsidRPr="006563D2">
        <w:rPr>
          <w:rFonts w:ascii="Calibri" w:hAnsi="Calibri" w:cs="Arial"/>
          <w:sz w:val="22"/>
          <w:szCs w:val="22"/>
          <w:shd w:val="clear" w:color="auto" w:fill="FFFFFF"/>
        </w:rPr>
        <w:t>4-8 November 2007; Philadelphia, PA USA.</w:t>
      </w:r>
      <w:r w:rsidRPr="006563D2">
        <w:rPr>
          <w:rFonts w:ascii="Calibri" w:hAnsi="Calibri" w:cs="Arial"/>
          <w:sz w:val="22"/>
          <w:szCs w:val="22"/>
        </w:rPr>
        <w:br/>
      </w:r>
      <w:r w:rsidRPr="00060C3B">
        <w:rPr>
          <w:rStyle w:val="nfasis"/>
          <w:rFonts w:ascii="Calibri" w:hAnsi="Calibri" w:cs="Arial"/>
          <w:sz w:val="22"/>
          <w:szCs w:val="22"/>
          <w:bdr w:val="none" w:sz="0" w:space="0" w:color="auto" w:frame="1"/>
          <w:shd w:val="clear" w:color="auto" w:fill="FFFFFF"/>
          <w:lang w:val="es-PE"/>
        </w:rPr>
        <w:t xml:space="preserve">American </w:t>
      </w:r>
      <w:proofErr w:type="spellStart"/>
      <w:r w:rsidRPr="00060C3B">
        <w:rPr>
          <w:rStyle w:val="nfasis"/>
          <w:rFonts w:ascii="Calibri" w:hAnsi="Calibri" w:cs="Arial"/>
          <w:sz w:val="22"/>
          <w:szCs w:val="22"/>
          <w:bdr w:val="none" w:sz="0" w:space="0" w:color="auto" w:frame="1"/>
          <w:shd w:val="clear" w:color="auto" w:fill="FFFFFF"/>
          <w:lang w:val="es-PE"/>
        </w:rPr>
        <w:t>Journal</w:t>
      </w:r>
      <w:proofErr w:type="spellEnd"/>
      <w:r w:rsidRPr="00060C3B">
        <w:rPr>
          <w:rStyle w:val="nfasis"/>
          <w:rFonts w:ascii="Calibri" w:hAnsi="Calibri" w:cs="Arial"/>
          <w:sz w:val="22"/>
          <w:szCs w:val="22"/>
          <w:bdr w:val="none" w:sz="0" w:space="0" w:color="auto" w:frame="1"/>
          <w:shd w:val="clear" w:color="auto" w:fill="FFFFFF"/>
          <w:lang w:val="es-PE"/>
        </w:rPr>
        <w:t xml:space="preserve"> of Tropical Medicine and </w:t>
      </w:r>
      <w:proofErr w:type="spellStart"/>
      <w:r w:rsidRPr="00060C3B">
        <w:rPr>
          <w:rStyle w:val="nfasis"/>
          <w:rFonts w:ascii="Calibri" w:hAnsi="Calibri" w:cs="Arial"/>
          <w:sz w:val="22"/>
          <w:szCs w:val="22"/>
          <w:bdr w:val="none" w:sz="0" w:space="0" w:color="auto" w:frame="1"/>
          <w:shd w:val="clear" w:color="auto" w:fill="FFFFFF"/>
          <w:lang w:val="es-PE"/>
        </w:rPr>
        <w:t>Hygiene</w:t>
      </w:r>
      <w:proofErr w:type="spellEnd"/>
      <w:r w:rsidRPr="00060C3B">
        <w:rPr>
          <w:rFonts w:ascii="Calibri" w:hAnsi="Calibri" w:cs="Arial"/>
          <w:sz w:val="22"/>
          <w:szCs w:val="22"/>
          <w:shd w:val="clear" w:color="auto" w:fill="FFFFFF"/>
          <w:lang w:val="es-PE"/>
        </w:rPr>
        <w:t> 2007</w:t>
      </w:r>
      <w:proofErr w:type="gramStart"/>
      <w:r w:rsidRPr="00060C3B">
        <w:rPr>
          <w:rFonts w:ascii="Calibri" w:hAnsi="Calibri" w:cs="Arial"/>
          <w:sz w:val="22"/>
          <w:szCs w:val="22"/>
          <w:shd w:val="clear" w:color="auto" w:fill="FFFFFF"/>
          <w:lang w:val="es-PE"/>
        </w:rPr>
        <w:t>;77</w:t>
      </w:r>
      <w:proofErr w:type="gramEnd"/>
      <w:r w:rsidRPr="00060C3B">
        <w:rPr>
          <w:rFonts w:ascii="Calibri" w:hAnsi="Calibri" w:cs="Arial"/>
          <w:sz w:val="22"/>
          <w:szCs w:val="22"/>
          <w:shd w:val="clear" w:color="auto" w:fill="FFFFFF"/>
          <w:lang w:val="es-PE"/>
        </w:rPr>
        <w:t>.</w:t>
      </w:r>
    </w:p>
    <w:p w:rsidR="00B10A14" w:rsidRPr="00060C3B" w:rsidRDefault="00B10A14" w:rsidP="00B10A14">
      <w:pPr>
        <w:rPr>
          <w:rFonts w:ascii="Calibri" w:hAnsi="Calibri"/>
          <w:color w:val="000000"/>
          <w:sz w:val="22"/>
          <w:szCs w:val="22"/>
          <w:lang w:val="es-PE"/>
        </w:rPr>
      </w:pPr>
    </w:p>
    <w:p w:rsidR="00B10A14" w:rsidRPr="00060C3B" w:rsidRDefault="00B10A14" w:rsidP="00B10A14">
      <w:pPr>
        <w:tabs>
          <w:tab w:val="left" w:pos="3193"/>
          <w:tab w:val="left" w:pos="8721"/>
        </w:tabs>
        <w:spacing w:before="120"/>
        <w:jc w:val="both"/>
        <w:rPr>
          <w:rFonts w:ascii="Arial" w:hAnsi="Arial" w:cs="Arial"/>
          <w:b/>
          <w:sz w:val="22"/>
          <w:szCs w:val="22"/>
          <w:lang w:val="es-PE"/>
        </w:rPr>
      </w:pPr>
      <w:r w:rsidRPr="00060C3B">
        <w:rPr>
          <w:rFonts w:ascii="Arial" w:hAnsi="Arial" w:cs="Arial"/>
          <w:b/>
          <w:sz w:val="22"/>
          <w:szCs w:val="22"/>
          <w:lang w:val="es-PE"/>
        </w:rPr>
        <w:t>Resumen</w:t>
      </w:r>
    </w:p>
    <w:p w:rsidR="00B10A14" w:rsidRPr="00060C3B" w:rsidRDefault="00B10A14" w:rsidP="00B10A14">
      <w:pPr>
        <w:pStyle w:val="Textoindependiente"/>
        <w:rPr>
          <w:rFonts w:ascii="Calibri" w:hAnsi="Calibri"/>
          <w:sz w:val="22"/>
          <w:szCs w:val="22"/>
          <w:lang w:val="es-PE"/>
        </w:rPr>
      </w:pPr>
    </w:p>
    <w:p w:rsidR="00B10A14" w:rsidRPr="00060C3B" w:rsidRDefault="00B10A14" w:rsidP="00B10A14">
      <w:pPr>
        <w:ind w:firstLine="720"/>
        <w:jc w:val="both"/>
        <w:rPr>
          <w:rFonts w:ascii="Calibri" w:hAnsi="Calibri" w:cs="Arial"/>
          <w:sz w:val="22"/>
          <w:szCs w:val="22"/>
          <w:lang w:val="es-PE"/>
        </w:rPr>
      </w:pPr>
      <w:r w:rsidRPr="00060C3B">
        <w:rPr>
          <w:rFonts w:ascii="Arial" w:hAnsi="Arial" w:cs="Arial"/>
          <w:b/>
          <w:sz w:val="22"/>
          <w:szCs w:val="22"/>
          <w:lang w:val="es-PE"/>
        </w:rPr>
        <w:t>Antecedentes</w:t>
      </w:r>
      <w:r w:rsidRPr="00060C3B">
        <w:rPr>
          <w:rFonts w:ascii="Arial" w:hAnsi="Arial" w:cs="Arial"/>
          <w:sz w:val="22"/>
          <w:szCs w:val="22"/>
          <w:lang w:val="es-PE"/>
        </w:rPr>
        <w:t>.</w:t>
      </w:r>
      <w:r w:rsidRPr="00060C3B">
        <w:rPr>
          <w:rFonts w:ascii="Calibri" w:hAnsi="Calibri" w:cs="Arial"/>
          <w:sz w:val="22"/>
          <w:szCs w:val="22"/>
          <w:lang w:val="es-PE"/>
        </w:rPr>
        <w:t xml:space="preserve"> El diagnóstico de TB por cultivo requiere de 3 a 8 semanas si el crecimiento </w:t>
      </w:r>
      <w:proofErr w:type="spellStart"/>
      <w:r w:rsidRPr="00060C3B">
        <w:rPr>
          <w:rFonts w:ascii="Calibri" w:hAnsi="Calibri" w:cs="Arial"/>
          <w:sz w:val="22"/>
          <w:szCs w:val="22"/>
          <w:lang w:val="es-PE"/>
        </w:rPr>
        <w:t>micobacteriano</w:t>
      </w:r>
      <w:proofErr w:type="spellEnd"/>
      <w:r w:rsidRPr="00060C3B">
        <w:rPr>
          <w:rFonts w:ascii="Calibri" w:hAnsi="Calibri" w:cs="Arial"/>
          <w:sz w:val="22"/>
          <w:szCs w:val="22"/>
          <w:lang w:val="es-PE"/>
        </w:rPr>
        <w:t xml:space="preserve"> se detecta a simple vista. El examen de cultivos microscópicamente en las técnicas de Susceptibilidad a Drogas de Observación Microscópica (MODS) y Agar de Capa Fina (TLA) proporciona resultados en 1-3 semanas, pero la practicidad de campo está limitada por el tiempo requerido para examinar los cultivos microscópicamente repetidamente.</w:t>
      </w:r>
    </w:p>
    <w:p w:rsidR="00B10A14" w:rsidRPr="00060C3B" w:rsidRDefault="00B10A14" w:rsidP="00B10A14">
      <w:pPr>
        <w:ind w:firstLine="720"/>
        <w:jc w:val="both"/>
        <w:rPr>
          <w:rFonts w:ascii="Calibri" w:hAnsi="Calibri" w:cs="Arial"/>
          <w:sz w:val="22"/>
          <w:szCs w:val="22"/>
          <w:lang w:val="es-PE"/>
        </w:rPr>
      </w:pPr>
    </w:p>
    <w:p w:rsidR="00B10A14" w:rsidRPr="00060C3B" w:rsidRDefault="00B10A14" w:rsidP="00B10A14">
      <w:pPr>
        <w:ind w:firstLine="720"/>
        <w:jc w:val="both"/>
        <w:rPr>
          <w:rFonts w:ascii="Calibri" w:hAnsi="Calibri" w:cs="Arial"/>
          <w:sz w:val="22"/>
          <w:szCs w:val="22"/>
          <w:lang w:val="es-PE"/>
        </w:rPr>
      </w:pPr>
      <w:r w:rsidRPr="00060C3B">
        <w:rPr>
          <w:rFonts w:ascii="Arial" w:hAnsi="Arial" w:cs="Arial"/>
          <w:b/>
          <w:sz w:val="22"/>
          <w:szCs w:val="22"/>
          <w:lang w:val="es-PE"/>
        </w:rPr>
        <w:t>Objetivo</w:t>
      </w:r>
      <w:r w:rsidRPr="00060C3B">
        <w:rPr>
          <w:rFonts w:ascii="Calibri" w:hAnsi="Calibri" w:cs="Arial"/>
          <w:b/>
          <w:sz w:val="22"/>
          <w:szCs w:val="22"/>
          <w:lang w:val="es-PE"/>
        </w:rPr>
        <w:t>.</w:t>
      </w:r>
      <w:r w:rsidRPr="00060C3B">
        <w:rPr>
          <w:rFonts w:ascii="Calibri" w:hAnsi="Calibri" w:cs="Arial"/>
          <w:sz w:val="22"/>
          <w:szCs w:val="22"/>
          <w:lang w:val="es-PE"/>
        </w:rPr>
        <w:t xml:space="preserve"> Evaluar el efecto de un indicador colorimétrico de crecimiento </w:t>
      </w:r>
      <w:proofErr w:type="spellStart"/>
      <w:r w:rsidRPr="00060C3B">
        <w:rPr>
          <w:rFonts w:ascii="Calibri" w:hAnsi="Calibri" w:cs="Arial"/>
          <w:sz w:val="22"/>
          <w:szCs w:val="22"/>
          <w:lang w:val="es-PE"/>
        </w:rPr>
        <w:t>micobacteriano</w:t>
      </w:r>
      <w:proofErr w:type="spellEnd"/>
      <w:r w:rsidRPr="00060C3B">
        <w:rPr>
          <w:rFonts w:ascii="Calibri" w:hAnsi="Calibri" w:cs="Arial"/>
          <w:sz w:val="22"/>
          <w:szCs w:val="22"/>
          <w:lang w:val="es-PE"/>
        </w:rPr>
        <w:t xml:space="preserve"> en la detección de cultivo de TB.</w:t>
      </w:r>
    </w:p>
    <w:p w:rsidR="00B10A14" w:rsidRPr="00060C3B" w:rsidRDefault="00B10A14" w:rsidP="00B10A14">
      <w:pPr>
        <w:ind w:firstLine="720"/>
        <w:jc w:val="both"/>
        <w:rPr>
          <w:rFonts w:ascii="Calibri" w:hAnsi="Calibri" w:cs="Arial"/>
          <w:sz w:val="22"/>
          <w:szCs w:val="22"/>
          <w:lang w:val="es-PE"/>
        </w:rPr>
      </w:pPr>
    </w:p>
    <w:p w:rsidR="00B10A14" w:rsidRPr="00060C3B" w:rsidRDefault="00B10A14" w:rsidP="00B10A14">
      <w:pPr>
        <w:ind w:firstLine="720"/>
        <w:jc w:val="both"/>
        <w:rPr>
          <w:rFonts w:ascii="Calibri" w:hAnsi="Calibri" w:cs="Arial"/>
          <w:sz w:val="22"/>
          <w:szCs w:val="22"/>
          <w:lang w:val="es-PE"/>
        </w:rPr>
      </w:pPr>
      <w:r w:rsidRPr="00060C3B">
        <w:rPr>
          <w:rFonts w:ascii="Arial" w:hAnsi="Arial" w:cs="Arial"/>
          <w:b/>
          <w:sz w:val="22"/>
          <w:szCs w:val="22"/>
          <w:lang w:val="es-PE"/>
        </w:rPr>
        <w:t>Métodos</w:t>
      </w:r>
      <w:r w:rsidRPr="00060C3B">
        <w:rPr>
          <w:rFonts w:ascii="Calibri" w:hAnsi="Calibri" w:cs="Arial"/>
          <w:b/>
          <w:sz w:val="22"/>
          <w:szCs w:val="22"/>
          <w:lang w:val="es-PE"/>
        </w:rPr>
        <w:t>.</w:t>
      </w:r>
      <w:r w:rsidRPr="00060C3B">
        <w:rPr>
          <w:rFonts w:ascii="Calibri" w:hAnsi="Calibri" w:cs="Arial"/>
          <w:sz w:val="22"/>
          <w:szCs w:val="22"/>
          <w:lang w:val="es-PE"/>
        </w:rPr>
        <w:t xml:space="preserve"> Investigamos el uso del indicador STC (cloruro de 2,3-difenil-5- (2-tienil) </w:t>
      </w:r>
      <w:proofErr w:type="spellStart"/>
      <w:r w:rsidRPr="00060C3B">
        <w:rPr>
          <w:rFonts w:ascii="Calibri" w:hAnsi="Calibri" w:cs="Arial"/>
          <w:sz w:val="22"/>
          <w:szCs w:val="22"/>
          <w:lang w:val="es-PE"/>
        </w:rPr>
        <w:t>tetrazolio</w:t>
      </w:r>
      <w:proofErr w:type="spellEnd"/>
      <w:r w:rsidRPr="00060C3B">
        <w:rPr>
          <w:rFonts w:ascii="Calibri" w:hAnsi="Calibri" w:cs="Arial"/>
          <w:sz w:val="22"/>
          <w:szCs w:val="22"/>
          <w:lang w:val="es-PE"/>
        </w:rPr>
        <w:t xml:space="preserve">) en cultivo de </w:t>
      </w:r>
      <w:proofErr w:type="spellStart"/>
      <w:r w:rsidRPr="00060C3B">
        <w:rPr>
          <w:rFonts w:ascii="Calibri" w:hAnsi="Calibri" w:cs="Arial"/>
          <w:sz w:val="22"/>
          <w:szCs w:val="22"/>
          <w:lang w:val="es-PE"/>
        </w:rPr>
        <w:t>micobacterias</w:t>
      </w:r>
      <w:proofErr w:type="spellEnd"/>
      <w:r w:rsidRPr="00060C3B">
        <w:rPr>
          <w:rFonts w:ascii="Calibri" w:hAnsi="Calibri" w:cs="Arial"/>
          <w:sz w:val="22"/>
          <w:szCs w:val="22"/>
          <w:lang w:val="es-PE"/>
        </w:rPr>
        <w:t xml:space="preserve">. En experimentos de optimización, se cultivaron diluciones en serie de una cepa de laboratorio de TB en medios líquidos y sólidos con y sin STC. En la evaluación clínica, se dividieron 665 muestras de esputo y se cultivaron en </w:t>
      </w:r>
      <w:proofErr w:type="gramStart"/>
      <w:r w:rsidRPr="00060C3B">
        <w:rPr>
          <w:rFonts w:ascii="Calibri" w:hAnsi="Calibri" w:cs="Arial"/>
          <w:sz w:val="22"/>
          <w:szCs w:val="22"/>
          <w:lang w:val="es-PE"/>
        </w:rPr>
        <w:t>medios estándar</w:t>
      </w:r>
      <w:proofErr w:type="gramEnd"/>
      <w:r w:rsidRPr="00060C3B">
        <w:rPr>
          <w:rFonts w:ascii="Calibri" w:hAnsi="Calibri" w:cs="Arial"/>
          <w:sz w:val="22"/>
          <w:szCs w:val="22"/>
          <w:lang w:val="es-PE"/>
        </w:rPr>
        <w:t xml:space="preserve"> que se examinaron microscópicamente, y en paralelo en medios que contenían STC que se examinaron a simple vista.</w:t>
      </w:r>
    </w:p>
    <w:p w:rsidR="00B10A14" w:rsidRPr="00060C3B" w:rsidRDefault="00B10A14" w:rsidP="00B10A14">
      <w:pPr>
        <w:ind w:firstLine="720"/>
        <w:jc w:val="both"/>
        <w:rPr>
          <w:rFonts w:ascii="Calibri" w:hAnsi="Calibri" w:cs="Arial"/>
          <w:sz w:val="22"/>
          <w:szCs w:val="22"/>
          <w:lang w:val="es-PE"/>
        </w:rPr>
      </w:pPr>
    </w:p>
    <w:p w:rsidR="00B10A14" w:rsidRPr="00060C3B" w:rsidRDefault="00B10A14" w:rsidP="00B10A14">
      <w:pPr>
        <w:ind w:firstLine="720"/>
        <w:jc w:val="both"/>
        <w:rPr>
          <w:rFonts w:ascii="Calibri" w:hAnsi="Calibri" w:cs="Arial"/>
          <w:sz w:val="22"/>
          <w:szCs w:val="22"/>
          <w:lang w:val="es-PE"/>
        </w:rPr>
      </w:pPr>
      <w:r w:rsidRPr="00060C3B">
        <w:rPr>
          <w:rFonts w:ascii="Arial" w:hAnsi="Arial" w:cs="Arial"/>
          <w:b/>
          <w:sz w:val="22"/>
          <w:szCs w:val="22"/>
          <w:lang w:val="es-PE"/>
        </w:rPr>
        <w:t>Resultados</w:t>
      </w:r>
      <w:r w:rsidRPr="00060C3B">
        <w:rPr>
          <w:rFonts w:ascii="Calibri" w:hAnsi="Calibri" w:cs="Arial"/>
          <w:b/>
          <w:sz w:val="22"/>
          <w:szCs w:val="22"/>
          <w:lang w:val="es-PE"/>
        </w:rPr>
        <w:t>.</w:t>
      </w:r>
      <w:r w:rsidRPr="00060C3B">
        <w:rPr>
          <w:rFonts w:ascii="Calibri" w:hAnsi="Calibri" w:cs="Arial"/>
          <w:sz w:val="22"/>
          <w:szCs w:val="22"/>
          <w:lang w:val="es-PE"/>
        </w:rPr>
        <w:t xml:space="preserve"> En los experimentos de optimización, STC produjo una coloración visible a simple vista y 50 µg / ml no inhibió el crecimiento, aunque 500 µg / ml de STC fue inhibidor. En la evaluación clínica, 50 µg / ml de STC en caldo (MODS) inoculados con muestras clínicas permitieron la detección del crecimiento a simple vista después de una mediana de 12 días (IQR 9-14) frente a 10 días (IQR 7-12) microscópicamente. En medios sólidos (TLA), la detección a simple vista por coloración tomó 14 días (IQR 10-17) frente a 12 días (IQR 10-16) por microscopía. La coloración también ocurrió con el crecimiento de contaminantes bacterianos o fúngicos, por lo que se requirió un solo examen microscópico de los cultivos sellados para la confirmación morfológica de los cultivos positivos. En todos los experimentos, la coloración de STC era visible mucho antes de que las colonias pudieran verse a simple vista y permitía la interpretación directa de la susceptibilidad a los medicamentos el día de la detección de TB.</w:t>
      </w:r>
    </w:p>
    <w:p w:rsidR="00B10A14" w:rsidRPr="00060C3B" w:rsidRDefault="00B10A14" w:rsidP="00B10A14">
      <w:pPr>
        <w:ind w:firstLine="720"/>
        <w:jc w:val="both"/>
        <w:rPr>
          <w:rFonts w:ascii="Calibri" w:hAnsi="Calibri" w:cs="Arial"/>
          <w:sz w:val="22"/>
          <w:szCs w:val="22"/>
          <w:lang w:val="es-PE"/>
        </w:rPr>
      </w:pPr>
    </w:p>
    <w:p w:rsidR="00B10A14" w:rsidRPr="00060C3B" w:rsidRDefault="00B10A14" w:rsidP="00B10A14">
      <w:pPr>
        <w:ind w:firstLine="720"/>
        <w:jc w:val="both"/>
        <w:rPr>
          <w:rFonts w:ascii="Calibri" w:hAnsi="Calibri"/>
          <w:sz w:val="22"/>
          <w:szCs w:val="22"/>
          <w:lang w:val="es-PE"/>
        </w:rPr>
      </w:pPr>
      <w:r w:rsidRPr="00060C3B">
        <w:rPr>
          <w:rFonts w:ascii="Arial" w:hAnsi="Arial" w:cs="Arial"/>
          <w:b/>
          <w:sz w:val="22"/>
          <w:szCs w:val="22"/>
          <w:lang w:val="es-PE"/>
        </w:rPr>
        <w:t>Conclusiones</w:t>
      </w:r>
      <w:r w:rsidRPr="00060C3B">
        <w:rPr>
          <w:rFonts w:ascii="Arial" w:hAnsi="Arial" w:cs="Arial"/>
          <w:sz w:val="22"/>
          <w:szCs w:val="22"/>
          <w:lang w:val="es-PE"/>
        </w:rPr>
        <w:t>.</w:t>
      </w:r>
      <w:r w:rsidRPr="00060C3B">
        <w:rPr>
          <w:rFonts w:ascii="Calibri" w:hAnsi="Calibri" w:cs="Arial"/>
          <w:sz w:val="22"/>
          <w:szCs w:val="22"/>
          <w:lang w:val="es-PE"/>
        </w:rPr>
        <w:t xml:space="preserve"> El retraso de 2 días entre la detección microscópica frente a la coloración a simple vista fue compensado por el considerable tiempo ahorrado al obviar la inspección microscópica repetida de cultivos negativos. STC es una forma económica y efectiva de aumentar la eficiencia y la viabilidad del cultivo rápido de TB.</w:t>
      </w:r>
    </w:p>
    <w:p w:rsidR="00CA7A92" w:rsidRPr="00B10A14" w:rsidRDefault="00B10A14">
      <w:pPr>
        <w:rPr>
          <w:lang w:val="es-PE"/>
        </w:rPr>
      </w:pPr>
      <w:bookmarkStart w:id="0" w:name="_GoBack"/>
      <w:bookmarkEnd w:id="0"/>
    </w:p>
    <w:sectPr w:rsidR="00CA7A92" w:rsidRPr="00B10A14" w:rsidSect="006563D2">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14"/>
    <w:rsid w:val="00031840"/>
    <w:rsid w:val="00063B94"/>
    <w:rsid w:val="000C50B6"/>
    <w:rsid w:val="000E44E8"/>
    <w:rsid w:val="000F69F4"/>
    <w:rsid w:val="00106693"/>
    <w:rsid w:val="00150FA1"/>
    <w:rsid w:val="0018359D"/>
    <w:rsid w:val="001A42BD"/>
    <w:rsid w:val="001B3BB9"/>
    <w:rsid w:val="001B5035"/>
    <w:rsid w:val="00202EF5"/>
    <w:rsid w:val="0025626F"/>
    <w:rsid w:val="002D4705"/>
    <w:rsid w:val="002E0CE7"/>
    <w:rsid w:val="00322266"/>
    <w:rsid w:val="00341DB4"/>
    <w:rsid w:val="003B3AE3"/>
    <w:rsid w:val="003B5B4D"/>
    <w:rsid w:val="00443328"/>
    <w:rsid w:val="0045404F"/>
    <w:rsid w:val="004727C8"/>
    <w:rsid w:val="004D4090"/>
    <w:rsid w:val="0051123B"/>
    <w:rsid w:val="00537202"/>
    <w:rsid w:val="00550242"/>
    <w:rsid w:val="00582DB8"/>
    <w:rsid w:val="00583E75"/>
    <w:rsid w:val="005B19E0"/>
    <w:rsid w:val="005C7803"/>
    <w:rsid w:val="005D1DEC"/>
    <w:rsid w:val="006065AB"/>
    <w:rsid w:val="006A18E5"/>
    <w:rsid w:val="006B6B2A"/>
    <w:rsid w:val="006C0CBE"/>
    <w:rsid w:val="00751F0E"/>
    <w:rsid w:val="00774BCE"/>
    <w:rsid w:val="00783D22"/>
    <w:rsid w:val="0078763A"/>
    <w:rsid w:val="007C6CDE"/>
    <w:rsid w:val="00897460"/>
    <w:rsid w:val="008A1B4B"/>
    <w:rsid w:val="008D741B"/>
    <w:rsid w:val="00924E51"/>
    <w:rsid w:val="009577EE"/>
    <w:rsid w:val="0097286F"/>
    <w:rsid w:val="009A6B36"/>
    <w:rsid w:val="009B2A69"/>
    <w:rsid w:val="009F4466"/>
    <w:rsid w:val="00A42CF4"/>
    <w:rsid w:val="00A96B3F"/>
    <w:rsid w:val="00A96F6C"/>
    <w:rsid w:val="00B10A14"/>
    <w:rsid w:val="00B226D8"/>
    <w:rsid w:val="00B73F05"/>
    <w:rsid w:val="00BA2260"/>
    <w:rsid w:val="00BC2D95"/>
    <w:rsid w:val="00BE5DD9"/>
    <w:rsid w:val="00C35D5E"/>
    <w:rsid w:val="00C4266B"/>
    <w:rsid w:val="00C804B2"/>
    <w:rsid w:val="00C9249B"/>
    <w:rsid w:val="00CA2DA1"/>
    <w:rsid w:val="00CD1D33"/>
    <w:rsid w:val="00CE7464"/>
    <w:rsid w:val="00D54C8F"/>
    <w:rsid w:val="00D76DD9"/>
    <w:rsid w:val="00D919C8"/>
    <w:rsid w:val="00DA35EC"/>
    <w:rsid w:val="00DB5D07"/>
    <w:rsid w:val="00EC7CAC"/>
    <w:rsid w:val="00ED20FA"/>
    <w:rsid w:val="00F3559F"/>
    <w:rsid w:val="00F35BCF"/>
    <w:rsid w:val="00F54512"/>
    <w:rsid w:val="00F55952"/>
    <w:rsid w:val="00F6636B"/>
    <w:rsid w:val="00FB714E"/>
    <w:rsid w:val="00FE18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544A1-088D-4258-B469-F5C99441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14"/>
    <w:pPr>
      <w:spacing w:after="0" w:line="240" w:lineRule="auto"/>
    </w:pPr>
    <w:rPr>
      <w:rFonts w:ascii="Times" w:eastAsia="Times" w:hAnsi="Times"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10A14"/>
    <w:rPr>
      <w:b/>
    </w:rPr>
  </w:style>
  <w:style w:type="character" w:customStyle="1" w:styleId="TextoindependienteCar">
    <w:name w:val="Texto independiente Car"/>
    <w:basedOn w:val="Fuentedeprrafopredeter"/>
    <w:link w:val="Textoindependiente"/>
    <w:rsid w:val="00B10A14"/>
    <w:rPr>
      <w:rFonts w:ascii="Times" w:eastAsia="Times" w:hAnsi="Times" w:cs="Times New Roman"/>
      <w:b/>
      <w:sz w:val="24"/>
      <w:szCs w:val="20"/>
      <w:lang w:val="en-US"/>
    </w:rPr>
  </w:style>
  <w:style w:type="character" w:styleId="nfasis">
    <w:name w:val="Emphasis"/>
    <w:uiPriority w:val="20"/>
    <w:qFormat/>
    <w:rsid w:val="00B10A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G.</dc:creator>
  <cp:keywords/>
  <dc:description/>
  <cp:lastModifiedBy>Mich G.</cp:lastModifiedBy>
  <cp:revision>1</cp:revision>
  <dcterms:created xsi:type="dcterms:W3CDTF">2022-10-04T18:53:00Z</dcterms:created>
  <dcterms:modified xsi:type="dcterms:W3CDTF">2022-10-04T18:54:00Z</dcterms:modified>
</cp:coreProperties>
</file>